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DA7" w14:textId="77777777" w:rsidR="00F57968" w:rsidRPr="00A44E2B" w:rsidRDefault="00F57968" w:rsidP="006131FD">
      <w:pPr>
        <w:tabs>
          <w:tab w:val="left" w:pos="6521"/>
        </w:tabs>
        <w:jc w:val="both"/>
      </w:pPr>
    </w:p>
    <w:p w14:paraId="1CBF0438" w14:textId="5DFB4382" w:rsidR="001C1C8B" w:rsidRPr="00A44E2B" w:rsidRDefault="00113C01" w:rsidP="001C1C8B">
      <w:pPr>
        <w:tabs>
          <w:tab w:val="left" w:pos="6521"/>
        </w:tabs>
        <w:spacing w:after="120"/>
        <w:jc w:val="right"/>
        <w:rPr>
          <w:rFonts w:eastAsia="Calibri"/>
        </w:rPr>
      </w:pPr>
      <w:r w:rsidRPr="00A44E2B">
        <w:rPr>
          <w:rFonts w:eastAsia="Calibri"/>
        </w:rPr>
        <w:t xml:space="preserve">V Praze dne </w:t>
      </w:r>
      <w:r w:rsidR="005C1FB1" w:rsidRPr="00A44E2B">
        <w:rPr>
          <w:rFonts w:eastAsia="Calibri"/>
        </w:rPr>
        <w:t>23</w:t>
      </w:r>
      <w:r w:rsidR="001C1C8B" w:rsidRPr="00A44E2B">
        <w:rPr>
          <w:rFonts w:eastAsia="Calibri"/>
        </w:rPr>
        <w:t>. </w:t>
      </w:r>
      <w:r w:rsidR="002C5BE1" w:rsidRPr="00A44E2B">
        <w:rPr>
          <w:rFonts w:eastAsia="Calibri"/>
        </w:rPr>
        <w:t>3</w:t>
      </w:r>
      <w:r w:rsidR="001C1C8B" w:rsidRPr="00A44E2B">
        <w:rPr>
          <w:rFonts w:eastAsia="Calibri"/>
        </w:rPr>
        <w:t>. 20</w:t>
      </w:r>
      <w:r w:rsidR="00F92822" w:rsidRPr="00A44E2B">
        <w:rPr>
          <w:rFonts w:eastAsia="Calibri"/>
        </w:rPr>
        <w:t>2</w:t>
      </w:r>
      <w:r w:rsidR="00E20E3B" w:rsidRPr="00A44E2B">
        <w:rPr>
          <w:rFonts w:eastAsia="Calibri"/>
        </w:rPr>
        <w:t>6</w:t>
      </w:r>
    </w:p>
    <w:p w14:paraId="67119841" w14:textId="77777777" w:rsidR="001C1C8B" w:rsidRPr="00A44E2B" w:rsidRDefault="001C1C8B" w:rsidP="001C1C8B">
      <w:pPr>
        <w:jc w:val="center"/>
        <w:rPr>
          <w:rFonts w:eastAsia="Calibri"/>
          <w:b/>
          <w:sz w:val="32"/>
          <w:szCs w:val="32"/>
        </w:rPr>
      </w:pPr>
      <w:r w:rsidRPr="00A44E2B">
        <w:rPr>
          <w:rFonts w:eastAsia="Calibri"/>
          <w:b/>
          <w:sz w:val="32"/>
          <w:szCs w:val="32"/>
        </w:rPr>
        <w:t>Výzva k podání nabídky</w:t>
      </w:r>
    </w:p>
    <w:p w14:paraId="290AF37F" w14:textId="77777777" w:rsidR="001C1C8B" w:rsidRPr="00A44E2B" w:rsidRDefault="001C1C8B" w:rsidP="001C1C8B">
      <w:pPr>
        <w:rPr>
          <w:rFonts w:eastAsia="Calibri"/>
        </w:rPr>
      </w:pPr>
    </w:p>
    <w:p w14:paraId="242C089C" w14:textId="77777777" w:rsidR="001C1C8B" w:rsidRPr="00A44E2B" w:rsidRDefault="001C1C8B" w:rsidP="001C1C8B">
      <w:pPr>
        <w:rPr>
          <w:rFonts w:eastAsia="Calibri"/>
        </w:rPr>
      </w:pPr>
      <w:r w:rsidRPr="00A44E2B">
        <w:rPr>
          <w:rFonts w:eastAsia="Calibri"/>
        </w:rPr>
        <w:t>Vážení obchodní partneři,</w:t>
      </w:r>
    </w:p>
    <w:p w14:paraId="4853085C" w14:textId="77777777" w:rsidR="001C1C8B" w:rsidRPr="00A44E2B" w:rsidRDefault="001C1C8B" w:rsidP="001C1C8B">
      <w:pPr>
        <w:rPr>
          <w:rFonts w:eastAsia="Calibri"/>
        </w:rPr>
      </w:pPr>
    </w:p>
    <w:p w14:paraId="34749A66" w14:textId="03A5DD40" w:rsidR="001C1C8B" w:rsidRPr="00A44E2B" w:rsidRDefault="001C1C8B" w:rsidP="00470C39">
      <w:pPr>
        <w:pStyle w:val="Textzadn"/>
        <w:rPr>
          <w:rFonts w:cs="Times New Roman"/>
        </w:rPr>
      </w:pPr>
      <w:r w:rsidRPr="00A44E2B">
        <w:rPr>
          <w:rFonts w:cs="Times New Roman"/>
        </w:rPr>
        <w:t xml:space="preserve">Obchodní akademie Vinohradská, 120 00 Praha 2, Vinohradská 38, příspěvková organizace zřízená HMP, </w:t>
      </w:r>
      <w:r w:rsidR="00984A12" w:rsidRPr="00A44E2B">
        <w:rPr>
          <w:rFonts w:cs="Times New Roman"/>
        </w:rPr>
        <w:t xml:space="preserve">jakožto zadavatel, </w:t>
      </w:r>
      <w:r w:rsidRPr="00A44E2B">
        <w:rPr>
          <w:rFonts w:cs="Times New Roman"/>
        </w:rPr>
        <w:t xml:space="preserve">zamýšlí </w:t>
      </w:r>
      <w:r w:rsidR="002C5BE1" w:rsidRPr="00A44E2B">
        <w:rPr>
          <w:rFonts w:cs="Times New Roman"/>
        </w:rPr>
        <w:t>rekonstrukci prostor v přízemí</w:t>
      </w:r>
      <w:r w:rsidR="009C5B09" w:rsidRPr="00A44E2B">
        <w:rPr>
          <w:rFonts w:cs="Times New Roman"/>
        </w:rPr>
        <w:t>.</w:t>
      </w:r>
    </w:p>
    <w:p w14:paraId="785400E2" w14:textId="77777777" w:rsidR="001C1C8B" w:rsidRPr="00295753" w:rsidRDefault="00691067" w:rsidP="00295753">
      <w:pPr>
        <w:pStyle w:val="INadpis"/>
      </w:pPr>
      <w:r w:rsidRPr="00295753">
        <w:fldChar w:fldCharType="begin"/>
      </w:r>
      <w:r w:rsidRPr="00295753">
        <w:instrText xml:space="preserve"> AUTONUM  \* ROMAN \s . </w:instrText>
      </w:r>
      <w:r w:rsidRPr="00295753">
        <w:fldChar w:fldCharType="end"/>
      </w:r>
      <w:r w:rsidRPr="00295753">
        <w:t xml:space="preserve"> </w:t>
      </w:r>
      <w:r w:rsidR="00BD2D69" w:rsidRPr="00295753">
        <w:t>Zadavatel</w:t>
      </w:r>
    </w:p>
    <w:p w14:paraId="49B2E965" w14:textId="77777777" w:rsidR="00BD2D69" w:rsidRPr="00295753" w:rsidRDefault="00BD2D69" w:rsidP="00295753">
      <w:pPr>
        <w:pStyle w:val="Textzadn"/>
      </w:pPr>
      <w:r w:rsidRPr="00295753">
        <w:t>Obchodní akademie Vinohradská</w:t>
      </w:r>
    </w:p>
    <w:p w14:paraId="6FB094F1" w14:textId="77777777" w:rsidR="00BD2D69" w:rsidRPr="00295753" w:rsidRDefault="00691067" w:rsidP="00295753">
      <w:pPr>
        <w:pStyle w:val="INadpis"/>
      </w:pPr>
      <w:r w:rsidRPr="00295753">
        <w:fldChar w:fldCharType="begin"/>
      </w:r>
      <w:r w:rsidRPr="00295753">
        <w:instrText xml:space="preserve"> AUTONUM  \* ROMAN \s . </w:instrText>
      </w:r>
      <w:r w:rsidRPr="00295753">
        <w:fldChar w:fldCharType="end"/>
      </w:r>
      <w:r w:rsidRPr="00295753">
        <w:t xml:space="preserve"> </w:t>
      </w:r>
      <w:r w:rsidR="00BD2D69" w:rsidRPr="00295753">
        <w:t>Název veřejné zakázky</w:t>
      </w:r>
    </w:p>
    <w:p w14:paraId="644EC5CE" w14:textId="57D1FF53" w:rsidR="00E700A7" w:rsidRPr="00A44E2B" w:rsidRDefault="00295753" w:rsidP="00E700A7">
      <w:pPr>
        <w:pStyle w:val="INadpis"/>
        <w:spacing w:before="0"/>
        <w:rPr>
          <w:rFonts w:eastAsia="Calibri" w:cs="Times New Roman"/>
          <w:b w:val="0"/>
        </w:rPr>
      </w:pPr>
      <w:r>
        <w:rPr>
          <w:rFonts w:eastAsia="Calibri" w:cs="Times New Roman"/>
          <w:b w:val="0"/>
        </w:rPr>
        <w:t>Rekonstrukce prostor</w:t>
      </w:r>
    </w:p>
    <w:p w14:paraId="3D074B2D" w14:textId="77777777" w:rsidR="00476380" w:rsidRPr="00A44E2B" w:rsidRDefault="00691067" w:rsidP="00661D95">
      <w:pPr>
        <w:pStyle w:val="INadpis"/>
        <w:rPr>
          <w:rFonts w:cs="Times New Roman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</w:t>
      </w:r>
      <w:r w:rsidR="00476380" w:rsidRPr="00A44E2B">
        <w:rPr>
          <w:rFonts w:cs="Times New Roman"/>
        </w:rPr>
        <w:t>Specifikace zadávacího řízení</w:t>
      </w:r>
    </w:p>
    <w:p w14:paraId="18856486" w14:textId="77777777" w:rsidR="00476380" w:rsidRPr="00A44E2B" w:rsidRDefault="00476380" w:rsidP="00E700A7">
      <w:pPr>
        <w:pStyle w:val="Textzadn"/>
        <w:numPr>
          <w:ilvl w:val="0"/>
          <w:numId w:val="21"/>
        </w:numPr>
        <w:rPr>
          <w:rFonts w:cs="Times New Roman"/>
        </w:rPr>
      </w:pPr>
      <w:r w:rsidRPr="00A44E2B">
        <w:rPr>
          <w:rFonts w:cs="Times New Roman"/>
        </w:rPr>
        <w:t>Otevřené zadávací řízení.</w:t>
      </w:r>
    </w:p>
    <w:p w14:paraId="506E1809" w14:textId="77777777" w:rsidR="00E700A7" w:rsidRPr="00A44E2B" w:rsidRDefault="00E700A7" w:rsidP="00E700A7">
      <w:pPr>
        <w:pStyle w:val="Textzadn"/>
        <w:numPr>
          <w:ilvl w:val="0"/>
          <w:numId w:val="21"/>
        </w:numPr>
        <w:rPr>
          <w:rFonts w:cs="Times New Roman"/>
        </w:rPr>
      </w:pPr>
      <w:r w:rsidRPr="00A44E2B">
        <w:rPr>
          <w:rFonts w:cs="Times New Roman"/>
        </w:rPr>
        <w:t xml:space="preserve">Nedílnou přílohou této výzvy k podání nabídky je návrh smlouvy k vyplnění </w:t>
      </w:r>
      <w:r w:rsidR="006E41E4" w:rsidRPr="00A44E2B">
        <w:rPr>
          <w:rFonts w:cs="Times New Roman"/>
        </w:rPr>
        <w:t>uchazečem</w:t>
      </w:r>
    </w:p>
    <w:p w14:paraId="2A9CE351" w14:textId="77777777" w:rsidR="00E700A7" w:rsidRPr="00A44E2B" w:rsidRDefault="00E700A7" w:rsidP="00E700A7">
      <w:pPr>
        <w:pStyle w:val="Textzadn"/>
        <w:numPr>
          <w:ilvl w:val="0"/>
          <w:numId w:val="21"/>
        </w:numPr>
        <w:rPr>
          <w:rFonts w:cs="Times New Roman"/>
        </w:rPr>
      </w:pPr>
      <w:r w:rsidRPr="00A44E2B">
        <w:rPr>
          <w:rFonts w:cs="Times New Roman"/>
        </w:rPr>
        <w:t xml:space="preserve">Výsledkem zadávacího řízení je smlouva s vybraným </w:t>
      </w:r>
      <w:r w:rsidR="006E41E4" w:rsidRPr="00A44E2B">
        <w:rPr>
          <w:rFonts w:cs="Times New Roman"/>
        </w:rPr>
        <w:t>uchazečem</w:t>
      </w:r>
    </w:p>
    <w:p w14:paraId="4DE5CD3B" w14:textId="77777777" w:rsidR="001C1C8B" w:rsidRPr="00A44E2B" w:rsidRDefault="00691067" w:rsidP="004F2547">
      <w:pPr>
        <w:pStyle w:val="INadpis"/>
        <w:spacing w:after="240"/>
        <w:rPr>
          <w:rFonts w:cs="Times New Roman"/>
          <w:b w:val="0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</w:t>
      </w:r>
      <w:r w:rsidR="001C1C8B" w:rsidRPr="00A44E2B">
        <w:rPr>
          <w:rFonts w:cs="Times New Roman"/>
        </w:rPr>
        <w:t xml:space="preserve">Specifikace </w:t>
      </w:r>
      <w:r w:rsidR="004F2547" w:rsidRPr="00A44E2B">
        <w:rPr>
          <w:rFonts w:cs="Times New Roman"/>
        </w:rPr>
        <w:t>předmětu plnění</w:t>
      </w:r>
      <w:r w:rsidR="002664E4" w:rsidRPr="00A44E2B">
        <w:rPr>
          <w:rFonts w:cs="Times New Roman"/>
        </w:rPr>
        <w:t xml:space="preserve"> – </w:t>
      </w:r>
      <w:r w:rsidR="002664E4" w:rsidRPr="00A44E2B">
        <w:rPr>
          <w:rFonts w:cs="Times New Roman"/>
          <w:b w:val="0"/>
        </w:rPr>
        <w:t>příloha č. 1 návrhu smlouvy</w:t>
      </w:r>
    </w:p>
    <w:p w14:paraId="6D31062E" w14:textId="306A12AB" w:rsidR="001C1C8B" w:rsidRPr="00A44E2B" w:rsidRDefault="004F0166" w:rsidP="000F45A9">
      <w:pPr>
        <w:pStyle w:val="INadpis"/>
        <w:spacing w:after="240"/>
        <w:rPr>
          <w:rFonts w:cs="Times New Roman"/>
          <w:b w:val="0"/>
          <w:bCs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Termín dodání</w:t>
      </w:r>
      <w:r w:rsidR="00E700A7" w:rsidRPr="00A44E2B">
        <w:rPr>
          <w:rFonts w:cs="Times New Roman"/>
        </w:rPr>
        <w:t xml:space="preserve"> – </w:t>
      </w:r>
      <w:r w:rsidR="00E700A7" w:rsidRPr="00A44E2B">
        <w:rPr>
          <w:rFonts w:cs="Times New Roman"/>
          <w:b w:val="0"/>
        </w:rPr>
        <w:t>článek 2 návrhu smlouvy</w:t>
      </w:r>
      <w:r w:rsidR="000F45A9" w:rsidRPr="00A44E2B">
        <w:rPr>
          <w:rFonts w:cs="Times New Roman"/>
          <w:b w:val="0"/>
        </w:rPr>
        <w:t xml:space="preserve">, </w:t>
      </w:r>
      <w:bookmarkStart w:id="0" w:name="_Hlk221271750"/>
      <w:r w:rsidR="000F45A9" w:rsidRPr="00A44E2B">
        <w:rPr>
          <w:rFonts w:cs="Times New Roman"/>
          <w:b w:val="0"/>
          <w:bCs/>
        </w:rPr>
        <w:t>p</w:t>
      </w:r>
      <w:r w:rsidR="001C1C8B" w:rsidRPr="00A44E2B">
        <w:rPr>
          <w:rFonts w:cs="Times New Roman"/>
          <w:b w:val="0"/>
          <w:bCs/>
        </w:rPr>
        <w:t xml:space="preserve">ožadovaný termín dodání </w:t>
      </w:r>
      <w:r w:rsidR="00E700A7" w:rsidRPr="00A44E2B">
        <w:rPr>
          <w:rFonts w:cs="Times New Roman"/>
          <w:b w:val="0"/>
          <w:bCs/>
        </w:rPr>
        <w:t xml:space="preserve">je </w:t>
      </w:r>
      <w:r w:rsidR="002C5BE1" w:rsidRPr="00A44E2B">
        <w:rPr>
          <w:rFonts w:cs="Times New Roman"/>
          <w:b w:val="0"/>
          <w:bCs/>
        </w:rPr>
        <w:t>květen 2026</w:t>
      </w:r>
      <w:r w:rsidR="00470303" w:rsidRPr="00A44E2B">
        <w:rPr>
          <w:rFonts w:cs="Times New Roman"/>
          <w:b w:val="0"/>
          <w:bCs/>
        </w:rPr>
        <w:t>.</w:t>
      </w:r>
      <w:r w:rsidR="001C1C8B" w:rsidRPr="00A44E2B">
        <w:rPr>
          <w:rFonts w:cs="Times New Roman"/>
          <w:b w:val="0"/>
          <w:bCs/>
        </w:rPr>
        <w:t xml:space="preserve"> </w:t>
      </w:r>
    </w:p>
    <w:bookmarkEnd w:id="0"/>
    <w:p w14:paraId="0CC6FFA9" w14:textId="1E42A13A" w:rsidR="00E700A7" w:rsidRPr="00295753" w:rsidRDefault="00E700A7" w:rsidP="00295753">
      <w:pPr>
        <w:pStyle w:val="INadpis"/>
      </w:pPr>
      <w:r w:rsidRPr="00295753">
        <w:fldChar w:fldCharType="begin"/>
      </w:r>
      <w:r w:rsidRPr="00295753">
        <w:instrText xml:space="preserve"> AUTONUM  \* ROMAN \s . </w:instrText>
      </w:r>
      <w:r w:rsidRPr="00295753">
        <w:fldChar w:fldCharType="end"/>
      </w:r>
      <w:r w:rsidRPr="00295753">
        <w:t xml:space="preserve"> </w:t>
      </w:r>
      <w:proofErr w:type="gramStart"/>
      <w:r w:rsidRPr="00295753">
        <w:t xml:space="preserve">Cena - </w:t>
      </w:r>
      <w:r w:rsidRPr="00295753">
        <w:rPr>
          <w:b w:val="0"/>
          <w:bCs/>
        </w:rPr>
        <w:t>článek</w:t>
      </w:r>
      <w:proofErr w:type="gramEnd"/>
      <w:r w:rsidRPr="00295753">
        <w:rPr>
          <w:b w:val="0"/>
          <w:bCs/>
        </w:rPr>
        <w:t xml:space="preserve"> 3. návrhu smlouvy</w:t>
      </w:r>
    </w:p>
    <w:p w14:paraId="494AAE11" w14:textId="42A0171C" w:rsidR="009E4A60" w:rsidRPr="00A44E2B" w:rsidRDefault="009E4A60" w:rsidP="00295753">
      <w:pPr>
        <w:pStyle w:val="Textzadn"/>
      </w:pPr>
      <w:r w:rsidRPr="00A44E2B">
        <w:t xml:space="preserve">Cenu uvádějte s DPH včetně všech vedlejších nákladů Zadavatel není plátcem DPH. </w:t>
      </w:r>
    </w:p>
    <w:p w14:paraId="23AD9901" w14:textId="27FE04B1" w:rsidR="002C5BE1" w:rsidRPr="00A44E2B" w:rsidRDefault="002C5BE1" w:rsidP="002C5BE1">
      <w:pPr>
        <w:pStyle w:val="INadpis"/>
        <w:rPr>
          <w:rFonts w:cs="Times New Roman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Prohlídka prostor</w:t>
      </w:r>
    </w:p>
    <w:p w14:paraId="12A37434" w14:textId="56D124D4" w:rsidR="002C5BE1" w:rsidRPr="00A44E2B" w:rsidRDefault="002C5BE1" w:rsidP="009E4A60">
      <w:pPr>
        <w:jc w:val="both"/>
      </w:pPr>
      <w:r w:rsidRPr="00A44E2B">
        <w:t xml:space="preserve">Úterý </w:t>
      </w:r>
      <w:r w:rsidR="007C2589">
        <w:t>7</w:t>
      </w:r>
      <w:r w:rsidRPr="00A44E2B">
        <w:t xml:space="preserve">. </w:t>
      </w:r>
      <w:r w:rsidR="007C2589">
        <w:t>4</w:t>
      </w:r>
      <w:r w:rsidRPr="00A44E2B">
        <w:t>. 2026 ve 14:00</w:t>
      </w:r>
      <w:r w:rsidR="008647A0">
        <w:t xml:space="preserve"> </w:t>
      </w:r>
      <w:r w:rsidRPr="00A44E2B">
        <w:t xml:space="preserve">hodin, sraz zájemců je v přízemí budovy u vrátnice. </w:t>
      </w:r>
    </w:p>
    <w:p w14:paraId="51049A71" w14:textId="77777777" w:rsidR="004F0166" w:rsidRPr="00A44E2B" w:rsidRDefault="004F0166" w:rsidP="00470C39">
      <w:pPr>
        <w:pStyle w:val="INadpis"/>
        <w:rPr>
          <w:rFonts w:cs="Times New Roman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Podávání nabídek</w:t>
      </w:r>
    </w:p>
    <w:p w14:paraId="48D7504F" w14:textId="28D5F0D7" w:rsidR="00E81EA5" w:rsidRPr="00A44E2B" w:rsidRDefault="007C5213" w:rsidP="00E700A7">
      <w:pPr>
        <w:pStyle w:val="Textzadn"/>
        <w:rPr>
          <w:rFonts w:cs="Times New Roman"/>
        </w:rPr>
      </w:pPr>
      <w:r w:rsidRPr="00A44E2B">
        <w:rPr>
          <w:rFonts w:cs="Times New Roman"/>
        </w:rPr>
        <w:t>Z nabídky musí být zřejmé, že splňuje všechny požadavky zadavatele případně jakým způsobem a do jaké míry.</w:t>
      </w:r>
      <w:r w:rsidR="00965067" w:rsidRPr="00A44E2B">
        <w:rPr>
          <w:rFonts w:cs="Times New Roman"/>
        </w:rPr>
        <w:t xml:space="preserve"> </w:t>
      </w:r>
      <w:r w:rsidR="003B6680" w:rsidRPr="00A44E2B">
        <w:rPr>
          <w:rFonts w:cs="Times New Roman"/>
        </w:rPr>
        <w:t xml:space="preserve">Lhůta pro předložení cenové nabídky </w:t>
      </w:r>
      <w:r w:rsidR="007108E4" w:rsidRPr="00A44E2B">
        <w:rPr>
          <w:rFonts w:cs="Times New Roman"/>
        </w:rPr>
        <w:t>(zaslání vyplněného návrhu smlouvy</w:t>
      </w:r>
      <w:r w:rsidR="00813A0F" w:rsidRPr="00A44E2B">
        <w:rPr>
          <w:rFonts w:cs="Times New Roman"/>
        </w:rPr>
        <w:t xml:space="preserve"> včetně Přílohy 1</w:t>
      </w:r>
      <w:r w:rsidR="007108E4" w:rsidRPr="00A44E2B">
        <w:rPr>
          <w:rFonts w:cs="Times New Roman"/>
        </w:rPr>
        <w:t xml:space="preserve">) </w:t>
      </w:r>
      <w:r w:rsidR="003B6680" w:rsidRPr="00A44E2B">
        <w:rPr>
          <w:rFonts w:cs="Times New Roman"/>
        </w:rPr>
        <w:t xml:space="preserve">je </w:t>
      </w:r>
      <w:r w:rsidR="00D97654" w:rsidRPr="00A44E2B">
        <w:rPr>
          <w:rFonts w:cs="Times New Roman"/>
        </w:rPr>
        <w:t xml:space="preserve">do </w:t>
      </w:r>
      <w:r w:rsidR="00AC40E9">
        <w:rPr>
          <w:rFonts w:cs="Times New Roman"/>
        </w:rPr>
        <w:t>10</w:t>
      </w:r>
      <w:r w:rsidR="003B6680" w:rsidRPr="00A44E2B">
        <w:rPr>
          <w:rFonts w:cs="Times New Roman"/>
        </w:rPr>
        <w:t>. </w:t>
      </w:r>
      <w:r w:rsidR="002C5BE1" w:rsidRPr="00A44E2B">
        <w:rPr>
          <w:rFonts w:cs="Times New Roman"/>
        </w:rPr>
        <w:t>4</w:t>
      </w:r>
      <w:r w:rsidR="003B6680" w:rsidRPr="00A44E2B">
        <w:rPr>
          <w:rFonts w:cs="Times New Roman"/>
        </w:rPr>
        <w:t>. 20</w:t>
      </w:r>
      <w:r w:rsidR="002347F9" w:rsidRPr="00A44E2B">
        <w:rPr>
          <w:rFonts w:cs="Times New Roman"/>
        </w:rPr>
        <w:t>2</w:t>
      </w:r>
      <w:r w:rsidR="0024179C" w:rsidRPr="00A44E2B">
        <w:rPr>
          <w:rFonts w:cs="Times New Roman"/>
        </w:rPr>
        <w:t>6</w:t>
      </w:r>
      <w:r w:rsidR="003B6680" w:rsidRPr="00A44E2B">
        <w:rPr>
          <w:rFonts w:cs="Times New Roman"/>
        </w:rPr>
        <w:t xml:space="preserve"> do 1</w:t>
      </w:r>
      <w:r w:rsidR="00CB1CD7" w:rsidRPr="00A44E2B">
        <w:rPr>
          <w:rFonts w:cs="Times New Roman"/>
        </w:rPr>
        <w:t>5</w:t>
      </w:r>
      <w:r w:rsidR="003B6680" w:rsidRPr="00A44E2B">
        <w:rPr>
          <w:rFonts w:cs="Times New Roman"/>
        </w:rPr>
        <w:t xml:space="preserve">:00 hodin. Je možné ji zaslat e-mailem </w:t>
      </w:r>
      <w:r w:rsidR="001C1C8B" w:rsidRPr="00A44E2B">
        <w:rPr>
          <w:rFonts w:cs="Times New Roman"/>
        </w:rPr>
        <w:t xml:space="preserve">na </w:t>
      </w:r>
      <w:r w:rsidR="00EA079C" w:rsidRPr="00A44E2B">
        <w:rPr>
          <w:rFonts w:cs="Times New Roman"/>
        </w:rPr>
        <w:t xml:space="preserve">centrální </w:t>
      </w:r>
      <w:r w:rsidR="001C1C8B" w:rsidRPr="00A44E2B">
        <w:rPr>
          <w:rFonts w:cs="Times New Roman"/>
        </w:rPr>
        <w:t xml:space="preserve">e-mailovou adresu školy </w:t>
      </w:r>
      <w:hyperlink r:id="rId8">
        <w:r w:rsidR="001C1C8B" w:rsidRPr="00A44E2B">
          <w:rPr>
            <w:rFonts w:cs="Times New Roman"/>
            <w:color w:val="0000FF"/>
            <w:u w:val="single"/>
          </w:rPr>
          <w:t>info@oavin.cz</w:t>
        </w:r>
      </w:hyperlink>
      <w:r w:rsidR="001C1C8B" w:rsidRPr="00A44E2B">
        <w:rPr>
          <w:rFonts w:cs="Times New Roman"/>
        </w:rPr>
        <w:t>,</w:t>
      </w:r>
      <w:r w:rsidR="001B4241" w:rsidRPr="00A44E2B">
        <w:rPr>
          <w:rFonts w:cs="Times New Roman"/>
        </w:rPr>
        <w:t xml:space="preserve"> datovou schránkou </w:t>
      </w:r>
      <w:r w:rsidR="00996283" w:rsidRPr="00A44E2B">
        <w:rPr>
          <w:rFonts w:cs="Times New Roman"/>
        </w:rPr>
        <w:t>2u5yduv,</w:t>
      </w:r>
      <w:r w:rsidR="001C1C8B" w:rsidRPr="00A44E2B">
        <w:rPr>
          <w:rFonts w:cs="Times New Roman"/>
        </w:rPr>
        <w:t xml:space="preserve"> </w:t>
      </w:r>
      <w:r w:rsidR="0063268B" w:rsidRPr="00A44E2B">
        <w:rPr>
          <w:rFonts w:cs="Times New Roman"/>
        </w:rPr>
        <w:t>případně</w:t>
      </w:r>
      <w:r w:rsidR="0015073C" w:rsidRPr="00A44E2B">
        <w:rPr>
          <w:rFonts w:cs="Times New Roman"/>
        </w:rPr>
        <w:t xml:space="preserve"> ji doručit v listinné formě do sekretariátu školy, V</w:t>
      </w:r>
      <w:r w:rsidR="00EA079C" w:rsidRPr="00A44E2B">
        <w:rPr>
          <w:rFonts w:cs="Times New Roman"/>
        </w:rPr>
        <w:t>inohradská 38</w:t>
      </w:r>
      <w:r w:rsidR="009535C0" w:rsidRPr="00A44E2B">
        <w:rPr>
          <w:rFonts w:cs="Times New Roman"/>
        </w:rPr>
        <w:t>/1971</w:t>
      </w:r>
      <w:r w:rsidR="00EA079C" w:rsidRPr="00A44E2B">
        <w:rPr>
          <w:rFonts w:cs="Times New Roman"/>
        </w:rPr>
        <w:t xml:space="preserve">, 120 00 Praha 2. </w:t>
      </w:r>
    </w:p>
    <w:p w14:paraId="0730D36D" w14:textId="77777777" w:rsidR="00CF579B" w:rsidRPr="00A44E2B" w:rsidRDefault="00691067" w:rsidP="00CB6862">
      <w:pPr>
        <w:pStyle w:val="INadpis"/>
        <w:rPr>
          <w:rFonts w:cs="Times New Roman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</w:t>
      </w:r>
      <w:r w:rsidR="00CF579B" w:rsidRPr="00A44E2B">
        <w:rPr>
          <w:rFonts w:cs="Times New Roman"/>
        </w:rPr>
        <w:t>Hodnocení nabídek uchazečů</w:t>
      </w:r>
    </w:p>
    <w:p w14:paraId="772B9F36" w14:textId="77777777" w:rsidR="00CF579B" w:rsidRPr="00A44E2B" w:rsidRDefault="00CF579B" w:rsidP="00470C39">
      <w:pPr>
        <w:pStyle w:val="Textzadn"/>
        <w:rPr>
          <w:rFonts w:cs="Times New Roman"/>
        </w:rPr>
      </w:pPr>
      <w:r w:rsidRPr="00A44E2B">
        <w:rPr>
          <w:rFonts w:cs="Times New Roman"/>
        </w:rPr>
        <w:t xml:space="preserve">Hodnotící kritérium: Nabídková cena v Kč včetně DPH (zadavatel není plátcem DPH), </w:t>
      </w:r>
      <w:r w:rsidR="00BB0DFA" w:rsidRPr="00A44E2B">
        <w:rPr>
          <w:rFonts w:cs="Times New Roman"/>
        </w:rPr>
        <w:t>přitom nabídky, které nesplní všechny zadané požadavky</w:t>
      </w:r>
      <w:r w:rsidR="004A1F98" w:rsidRPr="00A44E2B">
        <w:rPr>
          <w:rFonts w:cs="Times New Roman"/>
        </w:rPr>
        <w:t xml:space="preserve"> zadavatele</w:t>
      </w:r>
      <w:r w:rsidR="00BD2D69" w:rsidRPr="00A44E2B">
        <w:rPr>
          <w:rFonts w:cs="Times New Roman"/>
        </w:rPr>
        <w:t>,</w:t>
      </w:r>
      <w:r w:rsidR="00BB0DFA" w:rsidRPr="00A44E2B">
        <w:rPr>
          <w:rFonts w:cs="Times New Roman"/>
        </w:rPr>
        <w:t xml:space="preserve"> </w:t>
      </w:r>
      <w:r w:rsidR="007115B9" w:rsidRPr="00A44E2B">
        <w:rPr>
          <w:rFonts w:cs="Times New Roman"/>
        </w:rPr>
        <w:t xml:space="preserve">nebudou posuzovány a </w:t>
      </w:r>
      <w:r w:rsidR="00BB0DFA" w:rsidRPr="00A44E2B">
        <w:rPr>
          <w:rFonts w:cs="Times New Roman"/>
        </w:rPr>
        <w:t>budou vyřazeny.</w:t>
      </w:r>
    </w:p>
    <w:p w14:paraId="5F87D7AC" w14:textId="77777777" w:rsidR="00BD2D69" w:rsidRPr="00A44E2B" w:rsidRDefault="00691067" w:rsidP="00CB6862">
      <w:pPr>
        <w:pStyle w:val="INadpis"/>
        <w:rPr>
          <w:rFonts w:cs="Times New Roman"/>
        </w:rPr>
      </w:pPr>
      <w:r w:rsidRPr="00A44E2B">
        <w:rPr>
          <w:rFonts w:cs="Times New Roman"/>
        </w:rPr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</w:t>
      </w:r>
      <w:r w:rsidR="00BD2D69" w:rsidRPr="00A44E2B">
        <w:rPr>
          <w:rFonts w:cs="Times New Roman"/>
        </w:rPr>
        <w:t>Kontakt</w:t>
      </w:r>
    </w:p>
    <w:p w14:paraId="7969C177" w14:textId="7B1843F0" w:rsidR="00BD2D69" w:rsidRPr="00A44E2B" w:rsidRDefault="00BD2D69" w:rsidP="00470C39">
      <w:pPr>
        <w:pStyle w:val="Textzadn"/>
        <w:rPr>
          <w:rFonts w:cs="Times New Roman"/>
        </w:rPr>
      </w:pPr>
      <w:bookmarkStart w:id="1" w:name="_Hlk506482507"/>
      <w:r w:rsidRPr="00A44E2B">
        <w:rPr>
          <w:rFonts w:cs="Times New Roman"/>
        </w:rPr>
        <w:t xml:space="preserve">Kontaktní osoba </w:t>
      </w:r>
      <w:r w:rsidR="002C5BE1" w:rsidRPr="00A44E2B">
        <w:rPr>
          <w:rFonts w:cs="Times New Roman"/>
          <w:b/>
        </w:rPr>
        <w:t>Mgr. Ivan Kořínek</w:t>
      </w:r>
      <w:r w:rsidRPr="00A44E2B">
        <w:rPr>
          <w:rFonts w:cs="Times New Roman"/>
          <w:b/>
        </w:rPr>
        <w:t xml:space="preserve">, </w:t>
      </w:r>
      <w:r w:rsidR="002C5BE1" w:rsidRPr="00A44E2B">
        <w:rPr>
          <w:rFonts w:cs="Times New Roman"/>
          <w:b/>
        </w:rPr>
        <w:t xml:space="preserve">zástupce </w:t>
      </w:r>
      <w:r w:rsidRPr="00A44E2B">
        <w:rPr>
          <w:rFonts w:cs="Times New Roman"/>
          <w:b/>
        </w:rPr>
        <w:t>ředitel</w:t>
      </w:r>
      <w:bookmarkEnd w:id="1"/>
      <w:r w:rsidR="002C5BE1" w:rsidRPr="00A44E2B">
        <w:rPr>
          <w:rFonts w:cs="Times New Roman"/>
          <w:b/>
        </w:rPr>
        <w:t>e</w:t>
      </w:r>
      <w:r w:rsidRPr="00A44E2B">
        <w:rPr>
          <w:rFonts w:cs="Times New Roman"/>
        </w:rPr>
        <w:t xml:space="preserve">, e-mail: </w:t>
      </w:r>
      <w:hyperlink r:id="rId9" w:history="1">
        <w:r w:rsidR="002C5BE1" w:rsidRPr="00A44E2B">
          <w:rPr>
            <w:rStyle w:val="Hypertextovodkaz"/>
            <w:rFonts w:cs="Times New Roman"/>
          </w:rPr>
          <w:t>ivan.korinek@oavin.cz</w:t>
        </w:r>
      </w:hyperlink>
      <w:r w:rsidRPr="00A44E2B">
        <w:rPr>
          <w:rFonts w:cs="Times New Roman"/>
        </w:rPr>
        <w:t>, telefon: +420 778 534 317 (ústředna školy).</w:t>
      </w:r>
    </w:p>
    <w:p w14:paraId="692FE638" w14:textId="77777777" w:rsidR="00252E8E" w:rsidRPr="00A44E2B" w:rsidRDefault="00691067" w:rsidP="00CB6862">
      <w:pPr>
        <w:pStyle w:val="INadpis"/>
        <w:rPr>
          <w:rFonts w:cs="Times New Roman"/>
        </w:rPr>
      </w:pPr>
      <w:r w:rsidRPr="00A44E2B">
        <w:rPr>
          <w:rFonts w:cs="Times New Roman"/>
        </w:rPr>
        <w:lastRenderedPageBreak/>
        <w:fldChar w:fldCharType="begin"/>
      </w:r>
      <w:r w:rsidRPr="00A44E2B">
        <w:rPr>
          <w:rFonts w:cs="Times New Roman"/>
        </w:rPr>
        <w:instrText xml:space="preserve"> AUTONUM  \* ROMAN \s . </w:instrText>
      </w:r>
      <w:r w:rsidRPr="00A44E2B">
        <w:rPr>
          <w:rFonts w:cs="Times New Roman"/>
        </w:rPr>
        <w:fldChar w:fldCharType="end"/>
      </w:r>
      <w:r w:rsidRPr="00A44E2B">
        <w:rPr>
          <w:rFonts w:cs="Times New Roman"/>
        </w:rPr>
        <w:t xml:space="preserve"> </w:t>
      </w:r>
      <w:r w:rsidR="00CF579B" w:rsidRPr="00A44E2B">
        <w:rPr>
          <w:rFonts w:cs="Times New Roman"/>
        </w:rPr>
        <w:t>Další požadavky</w:t>
      </w:r>
    </w:p>
    <w:p w14:paraId="6D9FD313" w14:textId="77777777" w:rsidR="00CF579B" w:rsidRPr="00A44E2B" w:rsidRDefault="00CF579B" w:rsidP="00166AE7">
      <w:pPr>
        <w:pStyle w:val="Textzadnsslem"/>
        <w:ind w:left="357" w:hanging="357"/>
        <w:rPr>
          <w:rFonts w:ascii="Times New Roman" w:hAnsi="Times New Roman" w:cs="Times New Roman"/>
        </w:rPr>
      </w:pPr>
      <w:r w:rsidRPr="00A44E2B">
        <w:rPr>
          <w:rFonts w:ascii="Times New Roman" w:hAnsi="Times New Roman" w:cs="Times New Roman"/>
        </w:rPr>
        <w:t xml:space="preserve">Vybraný </w:t>
      </w:r>
      <w:r w:rsidR="006E41E4" w:rsidRPr="00A44E2B">
        <w:rPr>
          <w:rFonts w:ascii="Times New Roman" w:hAnsi="Times New Roman" w:cs="Times New Roman"/>
        </w:rPr>
        <w:t>uchazeč</w:t>
      </w:r>
      <w:r w:rsidRPr="00A44E2B">
        <w:rPr>
          <w:rFonts w:ascii="Times New Roman" w:hAnsi="Times New Roman" w:cs="Times New Roman"/>
        </w:rPr>
        <w:t xml:space="preserve"> je povinen doložit ke smlouvě svoji kvalifikaci pro realizaci zakázky. Důsledkem nesplnění požadované kvalifikace je vyřazení takové nabídky či případného doplňování kvalifikace. Zadavatel požaduje minimálně prokázání splnění:</w:t>
      </w:r>
    </w:p>
    <w:p w14:paraId="27716CDA" w14:textId="77777777" w:rsidR="009E4A60" w:rsidRPr="00A44E2B" w:rsidRDefault="009E4A60" w:rsidP="009E4A60">
      <w:pPr>
        <w:pStyle w:val="Textzadnsslem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45699EDE" w14:textId="77777777" w:rsidR="005048B8" w:rsidRPr="00A44E2B" w:rsidRDefault="00CF579B" w:rsidP="00166AE7">
      <w:pPr>
        <w:pStyle w:val="Textzadn"/>
        <w:numPr>
          <w:ilvl w:val="0"/>
          <w:numId w:val="20"/>
        </w:numPr>
        <w:rPr>
          <w:rFonts w:cs="Times New Roman"/>
        </w:rPr>
      </w:pPr>
      <w:r w:rsidRPr="00A44E2B">
        <w:rPr>
          <w:rFonts w:cs="Times New Roman"/>
        </w:rPr>
        <w:t xml:space="preserve">základních kvalifikačních předpokladů v plném rozsahu (postačuje čestným prohlášením) </w:t>
      </w:r>
    </w:p>
    <w:p w14:paraId="000082EB" w14:textId="77777777" w:rsidR="00CF579B" w:rsidRPr="00A44E2B" w:rsidRDefault="00CF579B" w:rsidP="005048B8">
      <w:pPr>
        <w:pStyle w:val="Textzadn"/>
        <w:ind w:left="1080"/>
        <w:rPr>
          <w:rFonts w:cs="Times New Roman"/>
        </w:rPr>
      </w:pPr>
      <w:r w:rsidRPr="00A44E2B">
        <w:rPr>
          <w:rFonts w:cs="Times New Roman"/>
        </w:rPr>
        <w:t>a</w:t>
      </w:r>
    </w:p>
    <w:p w14:paraId="2EAB23CD" w14:textId="77777777" w:rsidR="00CF579B" w:rsidRPr="00A44E2B" w:rsidRDefault="00CF579B" w:rsidP="00166AE7">
      <w:pPr>
        <w:pStyle w:val="Textzadn"/>
        <w:numPr>
          <w:ilvl w:val="0"/>
          <w:numId w:val="20"/>
        </w:numPr>
        <w:rPr>
          <w:rFonts w:cs="Times New Roman"/>
        </w:rPr>
      </w:pPr>
      <w:r w:rsidRPr="00A44E2B">
        <w:rPr>
          <w:rFonts w:cs="Times New Roman"/>
        </w:rPr>
        <w:t>profesních kvalifikačních předpokladů (výpis z obchodního rejstříku nebo obdobné evidence a doklad o oprávnění k podnikání).</w:t>
      </w:r>
    </w:p>
    <w:p w14:paraId="76892C50" w14:textId="77777777" w:rsidR="005048B8" w:rsidRPr="00A44E2B" w:rsidRDefault="005048B8" w:rsidP="005048B8">
      <w:pPr>
        <w:pStyle w:val="Textzadn"/>
        <w:ind w:left="1080"/>
        <w:rPr>
          <w:rFonts w:cs="Times New Roman"/>
        </w:rPr>
      </w:pPr>
    </w:p>
    <w:p w14:paraId="0775F393" w14:textId="77777777" w:rsidR="005048B8" w:rsidRPr="00A44E2B" w:rsidRDefault="005048B8" w:rsidP="005048B8">
      <w:pPr>
        <w:pStyle w:val="Odstavecseseznamem"/>
        <w:numPr>
          <w:ilvl w:val="0"/>
          <w:numId w:val="20"/>
        </w:numPr>
        <w:jc w:val="both"/>
      </w:pPr>
      <w:r w:rsidRPr="00A44E2B">
        <w:t xml:space="preserve">Předloží‐li </w:t>
      </w:r>
      <w:r w:rsidR="006E41E4" w:rsidRPr="00A44E2B">
        <w:t>uchazeč</w:t>
      </w:r>
      <w:r w:rsidRPr="00A44E2B">
        <w:t xml:space="preserve"> zadavateli výpis ze seznamu kvalifikovaných dodavatelů ve lhůtě pro prokázání splnění kvalifikace, nahrazuje tento výpis prokázání splnění základních kvalifikačních předpokladů podle § 53 odst. 1 zákona a profesních kvalifikačních předpokladů podle § 54 zákona v tom rozsahu, v jakém doklady prokazující splnění těchto profesních kvalifikačních předpokladů pokrývají požadavky veřejného zadavatele na prokázání splnění profesních kvalifikačních předpokladů pro plnění veřejné zakázky</w:t>
      </w:r>
    </w:p>
    <w:p w14:paraId="530E0147" w14:textId="77777777" w:rsidR="005048B8" w:rsidRPr="00A44E2B" w:rsidRDefault="005048B8" w:rsidP="005048B8">
      <w:pPr>
        <w:pStyle w:val="Odstavecseseznamem"/>
        <w:ind w:left="1080"/>
        <w:jc w:val="both"/>
      </w:pPr>
    </w:p>
    <w:p w14:paraId="5B53E772" w14:textId="77777777" w:rsidR="005048B8" w:rsidRPr="00A44E2B" w:rsidRDefault="005048B8" w:rsidP="005048B8">
      <w:pPr>
        <w:pStyle w:val="Odstavecseseznamem"/>
        <w:numPr>
          <w:ilvl w:val="0"/>
          <w:numId w:val="20"/>
        </w:numPr>
        <w:jc w:val="both"/>
      </w:pPr>
      <w:r w:rsidRPr="00A44E2B">
        <w:t xml:space="preserve">Pokud </w:t>
      </w:r>
      <w:r w:rsidR="006E41E4" w:rsidRPr="00A44E2B">
        <w:t>uchazeč</w:t>
      </w:r>
      <w:r w:rsidRPr="00A44E2B">
        <w:t xml:space="preserve"> využije možnosti uvedené § 127 zákona a prokáže splnění základních kvalifikačních předpokladů výpisem ze seznamu kvalifikovaných dodavatelů, nepožaduje zadavatel nad rámec výpisu ze seznamu kvalifikovaných dodavatelů předložit jiné dokumenty a doklady pro prokázání splnění kvalifikace</w:t>
      </w:r>
    </w:p>
    <w:p w14:paraId="3CE2D469" w14:textId="77777777" w:rsidR="00C26EF6" w:rsidRPr="00A44E2B" w:rsidRDefault="00C26EF6" w:rsidP="005048B8">
      <w:pPr>
        <w:pStyle w:val="Textzadnsodrkou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64FB8B5F" w14:textId="68428C8D" w:rsidR="00CF579B" w:rsidRPr="00A44E2B" w:rsidRDefault="00E700A7" w:rsidP="009E4A60">
      <w:pPr>
        <w:pStyle w:val="Textzadnsslem"/>
        <w:spacing w:after="240"/>
        <w:rPr>
          <w:rFonts w:ascii="Times New Roman" w:hAnsi="Times New Roman" w:cs="Times New Roman"/>
        </w:rPr>
      </w:pPr>
      <w:r w:rsidRPr="00A44E2B">
        <w:rPr>
          <w:rFonts w:ascii="Times New Roman" w:hAnsi="Times New Roman" w:cs="Times New Roman"/>
        </w:rPr>
        <w:t>Po vyhodnocení výběrového řízení bude v</w:t>
      </w:r>
      <w:r w:rsidR="00CF579B" w:rsidRPr="00A44E2B">
        <w:rPr>
          <w:rFonts w:ascii="Times New Roman" w:hAnsi="Times New Roman" w:cs="Times New Roman"/>
        </w:rPr>
        <w:t xml:space="preserve">ybraný </w:t>
      </w:r>
      <w:r w:rsidR="006E41E4" w:rsidRPr="00A44E2B">
        <w:rPr>
          <w:rFonts w:ascii="Times New Roman" w:hAnsi="Times New Roman" w:cs="Times New Roman"/>
        </w:rPr>
        <w:t>uchazeč</w:t>
      </w:r>
      <w:r w:rsidR="00CF579B" w:rsidRPr="00A44E2B">
        <w:rPr>
          <w:rFonts w:ascii="Times New Roman" w:hAnsi="Times New Roman" w:cs="Times New Roman"/>
        </w:rPr>
        <w:t xml:space="preserve"> </w:t>
      </w:r>
      <w:r w:rsidRPr="00A44E2B">
        <w:rPr>
          <w:rFonts w:ascii="Times New Roman" w:hAnsi="Times New Roman" w:cs="Times New Roman"/>
        </w:rPr>
        <w:t>d</w:t>
      </w:r>
      <w:r w:rsidR="00CF579B" w:rsidRPr="00A44E2B">
        <w:rPr>
          <w:rFonts w:ascii="Times New Roman" w:hAnsi="Times New Roman" w:cs="Times New Roman"/>
        </w:rPr>
        <w:t xml:space="preserve">o 3 </w:t>
      </w:r>
      <w:r w:rsidR="00770D57" w:rsidRPr="00A44E2B">
        <w:rPr>
          <w:rFonts w:ascii="Times New Roman" w:hAnsi="Times New Roman" w:cs="Times New Roman"/>
        </w:rPr>
        <w:t xml:space="preserve">pracovních </w:t>
      </w:r>
      <w:r w:rsidR="00CF579B" w:rsidRPr="00A44E2B">
        <w:rPr>
          <w:rFonts w:ascii="Times New Roman" w:hAnsi="Times New Roman" w:cs="Times New Roman"/>
        </w:rPr>
        <w:t xml:space="preserve">dnů </w:t>
      </w:r>
      <w:r w:rsidRPr="00A44E2B">
        <w:rPr>
          <w:rFonts w:ascii="Times New Roman" w:hAnsi="Times New Roman" w:cs="Times New Roman"/>
        </w:rPr>
        <w:t>vyzván</w:t>
      </w:r>
      <w:r w:rsidR="00CF579B" w:rsidRPr="00A44E2B">
        <w:rPr>
          <w:rFonts w:ascii="Times New Roman" w:hAnsi="Times New Roman" w:cs="Times New Roman"/>
        </w:rPr>
        <w:t xml:space="preserve"> zadavatele</w:t>
      </w:r>
      <w:r w:rsidRPr="00A44E2B">
        <w:rPr>
          <w:rFonts w:ascii="Times New Roman" w:hAnsi="Times New Roman" w:cs="Times New Roman"/>
        </w:rPr>
        <w:t>m</w:t>
      </w:r>
      <w:r w:rsidR="00CF579B" w:rsidRPr="00A44E2B">
        <w:rPr>
          <w:rFonts w:ascii="Times New Roman" w:hAnsi="Times New Roman" w:cs="Times New Roman"/>
        </w:rPr>
        <w:t xml:space="preserve"> </w:t>
      </w:r>
      <w:r w:rsidRPr="00A44E2B">
        <w:rPr>
          <w:rFonts w:ascii="Times New Roman" w:hAnsi="Times New Roman" w:cs="Times New Roman"/>
        </w:rPr>
        <w:t>k podpisu S</w:t>
      </w:r>
      <w:r w:rsidR="00CF579B" w:rsidRPr="00A44E2B">
        <w:rPr>
          <w:rFonts w:ascii="Times New Roman" w:hAnsi="Times New Roman" w:cs="Times New Roman"/>
        </w:rPr>
        <w:t>mlouvy na zakázku</w:t>
      </w:r>
      <w:r w:rsidRPr="00A44E2B">
        <w:rPr>
          <w:rFonts w:ascii="Times New Roman" w:hAnsi="Times New Roman" w:cs="Times New Roman"/>
        </w:rPr>
        <w:t>. S</w:t>
      </w:r>
      <w:r w:rsidR="00CF579B" w:rsidRPr="00A44E2B">
        <w:rPr>
          <w:rFonts w:ascii="Times New Roman" w:hAnsi="Times New Roman" w:cs="Times New Roman"/>
        </w:rPr>
        <w:t xml:space="preserve">oučástí </w:t>
      </w:r>
      <w:r w:rsidRPr="00A44E2B">
        <w:rPr>
          <w:rFonts w:ascii="Times New Roman" w:hAnsi="Times New Roman" w:cs="Times New Roman"/>
        </w:rPr>
        <w:t>Smlouvy je</w:t>
      </w:r>
      <w:r w:rsidR="00CF579B" w:rsidRPr="00A44E2B">
        <w:rPr>
          <w:rFonts w:ascii="Times New Roman" w:hAnsi="Times New Roman" w:cs="Times New Roman"/>
        </w:rPr>
        <w:t xml:space="preserve"> ujednání o </w:t>
      </w:r>
      <w:r w:rsidRPr="00A44E2B">
        <w:rPr>
          <w:rFonts w:ascii="Times New Roman" w:hAnsi="Times New Roman" w:cs="Times New Roman"/>
        </w:rPr>
        <w:t xml:space="preserve">jejím </w:t>
      </w:r>
      <w:r w:rsidR="00CF579B" w:rsidRPr="00A44E2B">
        <w:rPr>
          <w:rFonts w:ascii="Times New Roman" w:hAnsi="Times New Roman" w:cs="Times New Roman"/>
        </w:rPr>
        <w:t>zveřejnění</w:t>
      </w:r>
      <w:r w:rsidRPr="00A44E2B">
        <w:rPr>
          <w:rFonts w:ascii="Times New Roman" w:hAnsi="Times New Roman" w:cs="Times New Roman"/>
        </w:rPr>
        <w:t>.</w:t>
      </w:r>
      <w:r w:rsidR="00CF579B" w:rsidRPr="00A44E2B">
        <w:rPr>
          <w:rFonts w:ascii="Times New Roman" w:hAnsi="Times New Roman" w:cs="Times New Roman"/>
        </w:rPr>
        <w:t xml:space="preserve"> „Smluvní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(zadavatel).“</w:t>
      </w:r>
    </w:p>
    <w:p w14:paraId="211EA371" w14:textId="77777777" w:rsidR="009E4A60" w:rsidRPr="00A44E2B" w:rsidRDefault="009E4A60" w:rsidP="009E4A60">
      <w:pPr>
        <w:pStyle w:val="Textzadnsslem"/>
        <w:numPr>
          <w:ilvl w:val="0"/>
          <w:numId w:val="0"/>
        </w:numPr>
        <w:spacing w:after="240"/>
        <w:ind w:left="644"/>
        <w:rPr>
          <w:rFonts w:ascii="Times New Roman" w:hAnsi="Times New Roman" w:cs="Times New Roman"/>
        </w:rPr>
      </w:pPr>
    </w:p>
    <w:p w14:paraId="2F70D70E" w14:textId="3C7AE2E4" w:rsidR="00CF579B" w:rsidRPr="00A44E2B" w:rsidRDefault="00CF579B" w:rsidP="009E4A60">
      <w:pPr>
        <w:pStyle w:val="Textzadnsslem"/>
        <w:spacing w:before="240"/>
        <w:rPr>
          <w:rFonts w:ascii="Times New Roman" w:hAnsi="Times New Roman" w:cs="Times New Roman"/>
        </w:rPr>
      </w:pPr>
      <w:r w:rsidRPr="00A44E2B">
        <w:rPr>
          <w:rFonts w:ascii="Times New Roman" w:hAnsi="Times New Roman" w:cs="Times New Roman"/>
        </w:rPr>
        <w:t>Veškeré požadavky stanovené v zadávacích podmínkách týkající se vlastního plnění</w:t>
      </w:r>
      <w:r w:rsidRPr="00A44E2B">
        <w:rPr>
          <w:rFonts w:ascii="Times New Roman" w:hAnsi="Times New Roman" w:cs="Times New Roman"/>
        </w:rPr>
        <w:br/>
        <w:t>zakázky j</w:t>
      </w:r>
      <w:r w:rsidR="00E700A7" w:rsidRPr="00A44E2B">
        <w:rPr>
          <w:rFonts w:ascii="Times New Roman" w:hAnsi="Times New Roman" w:cs="Times New Roman"/>
        </w:rPr>
        <w:t xml:space="preserve">sou </w:t>
      </w:r>
      <w:r w:rsidRPr="00A44E2B">
        <w:rPr>
          <w:rFonts w:ascii="Times New Roman" w:hAnsi="Times New Roman" w:cs="Times New Roman"/>
        </w:rPr>
        <w:t>zahrn</w:t>
      </w:r>
      <w:r w:rsidR="00E700A7" w:rsidRPr="00A44E2B">
        <w:rPr>
          <w:rFonts w:ascii="Times New Roman" w:hAnsi="Times New Roman" w:cs="Times New Roman"/>
        </w:rPr>
        <w:t>uty</w:t>
      </w:r>
      <w:r w:rsidRPr="00A44E2B">
        <w:rPr>
          <w:rFonts w:ascii="Times New Roman" w:hAnsi="Times New Roman" w:cs="Times New Roman"/>
        </w:rPr>
        <w:t xml:space="preserve"> do obchodních (smluvních) podmínek </w:t>
      </w:r>
      <w:r w:rsidR="00E700A7" w:rsidRPr="00A44E2B">
        <w:rPr>
          <w:rFonts w:ascii="Times New Roman" w:hAnsi="Times New Roman" w:cs="Times New Roman"/>
        </w:rPr>
        <w:t xml:space="preserve">a jsou </w:t>
      </w:r>
      <w:r w:rsidRPr="00A44E2B">
        <w:rPr>
          <w:rFonts w:ascii="Times New Roman" w:hAnsi="Times New Roman" w:cs="Times New Roman"/>
        </w:rPr>
        <w:t>nedílnou</w:t>
      </w:r>
      <w:r w:rsidRPr="00A44E2B">
        <w:rPr>
          <w:rFonts w:ascii="Times New Roman" w:hAnsi="Times New Roman" w:cs="Times New Roman"/>
        </w:rPr>
        <w:br/>
        <w:t xml:space="preserve">součástí </w:t>
      </w:r>
      <w:r w:rsidR="00E700A7" w:rsidRPr="00A44E2B">
        <w:rPr>
          <w:rFonts w:ascii="Times New Roman" w:hAnsi="Times New Roman" w:cs="Times New Roman"/>
        </w:rPr>
        <w:t>návrhu smlouvy.</w:t>
      </w:r>
    </w:p>
    <w:p w14:paraId="16F705FC" w14:textId="77777777" w:rsidR="009E4A60" w:rsidRPr="00A44E2B" w:rsidRDefault="009E4A60" w:rsidP="009E4A60">
      <w:pPr>
        <w:pStyle w:val="Textzadnsslem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</w:p>
    <w:p w14:paraId="1DAD5C7B" w14:textId="77777777" w:rsidR="00CF579B" w:rsidRPr="00A44E2B" w:rsidRDefault="004F0166" w:rsidP="00470C39">
      <w:pPr>
        <w:pStyle w:val="Textzadnsslem"/>
        <w:rPr>
          <w:rFonts w:ascii="Times New Roman" w:hAnsi="Times New Roman" w:cs="Times New Roman"/>
        </w:rPr>
      </w:pPr>
      <w:r w:rsidRPr="00A44E2B">
        <w:rPr>
          <w:rFonts w:ascii="Times New Roman" w:hAnsi="Times New Roman" w:cs="Times New Roman"/>
        </w:rPr>
        <w:t>Zadavatel</w:t>
      </w:r>
      <w:r w:rsidR="00CF579B" w:rsidRPr="00A44E2B">
        <w:rPr>
          <w:rFonts w:ascii="Times New Roman" w:hAnsi="Times New Roman" w:cs="Times New Roman"/>
        </w:rPr>
        <w:t xml:space="preserve"> si vyhrazuje právo zrušit výzvu k předložení cenové nabídky</w:t>
      </w:r>
      <w:r w:rsidR="00E700A7" w:rsidRPr="00A44E2B">
        <w:rPr>
          <w:rFonts w:ascii="Times New Roman" w:hAnsi="Times New Roman" w:cs="Times New Roman"/>
        </w:rPr>
        <w:t>,</w:t>
      </w:r>
      <w:r w:rsidR="00CF579B" w:rsidRPr="00A44E2B">
        <w:rPr>
          <w:rFonts w:ascii="Times New Roman" w:hAnsi="Times New Roman" w:cs="Times New Roman"/>
        </w:rPr>
        <w:t xml:space="preserve"> a to kdykoliv během výběrového řízení bez udání důvodu.</w:t>
      </w:r>
    </w:p>
    <w:p w14:paraId="1EC19C8C" w14:textId="77777777" w:rsidR="001C1C8B" w:rsidRPr="00A44E2B" w:rsidRDefault="001C1C8B" w:rsidP="001C1C8B">
      <w:pPr>
        <w:jc w:val="both"/>
        <w:rPr>
          <w:rFonts w:eastAsia="Calibri"/>
        </w:rPr>
      </w:pPr>
    </w:p>
    <w:p w14:paraId="049F73BD" w14:textId="77777777" w:rsidR="001C1C8B" w:rsidRPr="00A44E2B" w:rsidRDefault="001C1C8B" w:rsidP="001C1C8B">
      <w:pPr>
        <w:jc w:val="both"/>
        <w:rPr>
          <w:rFonts w:eastAsia="Calibri"/>
        </w:rPr>
      </w:pPr>
      <w:r w:rsidRPr="00A44E2B">
        <w:rPr>
          <w:rFonts w:eastAsia="Calibri"/>
        </w:rPr>
        <w:tab/>
        <w:t>S</w:t>
      </w:r>
      <w:r w:rsidR="009E4A60" w:rsidRPr="00A44E2B">
        <w:rPr>
          <w:rFonts w:eastAsia="Calibri"/>
        </w:rPr>
        <w:t> </w:t>
      </w:r>
      <w:r w:rsidRPr="00A44E2B">
        <w:rPr>
          <w:rFonts w:eastAsia="Calibri"/>
        </w:rPr>
        <w:t>pozdravem</w:t>
      </w:r>
    </w:p>
    <w:p w14:paraId="471857E8" w14:textId="77777777" w:rsidR="001C1C8B" w:rsidRPr="00A44E2B" w:rsidRDefault="001C1C8B" w:rsidP="001C1C8B">
      <w:pPr>
        <w:tabs>
          <w:tab w:val="center" w:pos="6804"/>
        </w:tabs>
        <w:jc w:val="both"/>
        <w:rPr>
          <w:rFonts w:eastAsia="Calibri"/>
        </w:rPr>
      </w:pPr>
      <w:r w:rsidRPr="00A44E2B">
        <w:rPr>
          <w:rFonts w:eastAsia="Calibri"/>
        </w:rPr>
        <w:tab/>
        <w:t>RNDr. Milan Macek, CSc.</w:t>
      </w:r>
    </w:p>
    <w:p w14:paraId="0BF12F02" w14:textId="32246C49" w:rsidR="000F3CFA" w:rsidRPr="00A44E2B" w:rsidRDefault="001C1C8B" w:rsidP="001C1C8B">
      <w:pPr>
        <w:tabs>
          <w:tab w:val="center" w:pos="6804"/>
        </w:tabs>
        <w:jc w:val="both"/>
        <w:rPr>
          <w:rFonts w:eastAsia="Calibri"/>
        </w:rPr>
      </w:pPr>
      <w:r w:rsidRPr="00A44E2B">
        <w:rPr>
          <w:rFonts w:eastAsia="Calibri"/>
        </w:rPr>
        <w:tab/>
      </w:r>
      <w:r w:rsidR="00242B18" w:rsidRPr="00A44E2B">
        <w:rPr>
          <w:rFonts w:eastAsia="Calibri"/>
        </w:rPr>
        <w:t>ř</w:t>
      </w:r>
      <w:r w:rsidRPr="00A44E2B">
        <w:rPr>
          <w:rFonts w:eastAsia="Calibri"/>
        </w:rPr>
        <w:t>editel</w:t>
      </w:r>
    </w:p>
    <w:p w14:paraId="3F8C4545" w14:textId="64229BA5" w:rsidR="00FD744D" w:rsidRPr="00A44E2B" w:rsidRDefault="0000162D" w:rsidP="00FD744D">
      <w:pPr>
        <w:jc w:val="center"/>
      </w:pPr>
      <w:r w:rsidRPr="00A44E2B">
        <w:t xml:space="preserve"> </w:t>
      </w:r>
    </w:p>
    <w:p w14:paraId="5148448A" w14:textId="77777777" w:rsidR="00FD744D" w:rsidRPr="00A44E2B" w:rsidRDefault="00FD744D">
      <w:r w:rsidRPr="00A44E2B">
        <w:br w:type="page"/>
      </w:r>
    </w:p>
    <w:p w14:paraId="28FAFC49" w14:textId="1564E1EE" w:rsidR="00FD744D" w:rsidRPr="002B32E5" w:rsidRDefault="00FD744D" w:rsidP="00FD744D">
      <w:pPr>
        <w:jc w:val="center"/>
        <w:rPr>
          <w:sz w:val="32"/>
          <w:szCs w:val="32"/>
        </w:rPr>
      </w:pPr>
      <w:r w:rsidRPr="002B32E5">
        <w:rPr>
          <w:b/>
          <w:sz w:val="32"/>
          <w:szCs w:val="32"/>
        </w:rPr>
        <w:lastRenderedPageBreak/>
        <w:t>Návrh smlouvy</w:t>
      </w:r>
    </w:p>
    <w:p w14:paraId="3FAD4CD8" w14:textId="72430F9A" w:rsidR="00FD744D" w:rsidRPr="00A44E2B" w:rsidRDefault="00FD744D" w:rsidP="00FD744D">
      <w:pPr>
        <w:pStyle w:val="Nadpis2"/>
        <w:tabs>
          <w:tab w:val="left" w:pos="1365"/>
          <w:tab w:val="center" w:pos="4677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A44E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 </w:t>
      </w:r>
      <w:r w:rsidR="002C5BE1" w:rsidRPr="00A44E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rekonstrukci prostor v přízemí</w:t>
      </w:r>
      <w:r w:rsidR="0000162D" w:rsidRPr="00A44E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669C984" w14:textId="77777777" w:rsidR="00FD744D" w:rsidRPr="00A44E2B" w:rsidRDefault="00FD744D" w:rsidP="00FD744D">
      <w:pPr>
        <w:jc w:val="center"/>
      </w:pPr>
    </w:p>
    <w:p w14:paraId="5B0001CB" w14:textId="77777777" w:rsidR="00FD744D" w:rsidRPr="00A44E2B" w:rsidRDefault="00FD744D" w:rsidP="00FD744D">
      <w:r w:rsidRPr="00A44E2B">
        <w:t>Níže označené strany</w:t>
      </w:r>
    </w:p>
    <w:p w14:paraId="2A51BBB0" w14:textId="77777777" w:rsidR="00FD744D" w:rsidRPr="00A44E2B" w:rsidRDefault="00FD744D" w:rsidP="00FD744D"/>
    <w:p w14:paraId="1C9A1AD8" w14:textId="77777777" w:rsidR="00FD744D" w:rsidRPr="00A44E2B" w:rsidRDefault="00FD744D" w:rsidP="00FD744D">
      <w:pPr>
        <w:jc w:val="both"/>
        <w:rPr>
          <w:b/>
        </w:rPr>
      </w:pPr>
      <w:r w:rsidRPr="00A44E2B">
        <w:rPr>
          <w:b/>
        </w:rPr>
        <w:t>Obchodní akademie Vinohradská</w:t>
      </w:r>
    </w:p>
    <w:p w14:paraId="5F048405" w14:textId="77777777" w:rsidR="00FD744D" w:rsidRPr="00A44E2B" w:rsidRDefault="00FD744D" w:rsidP="00FD744D">
      <w:pPr>
        <w:jc w:val="both"/>
      </w:pPr>
      <w:r w:rsidRPr="00A44E2B">
        <w:t>se sídlem Vinohradská 1971/38, 120 00 Praha 2, Česká republika</w:t>
      </w:r>
    </w:p>
    <w:p w14:paraId="4B498C75" w14:textId="77777777" w:rsidR="00FD744D" w:rsidRPr="00A44E2B" w:rsidRDefault="00FD744D" w:rsidP="00FD744D">
      <w:pPr>
        <w:jc w:val="both"/>
      </w:pPr>
      <w:r w:rsidRPr="00A44E2B">
        <w:t>osoba oprávněna jednat: RNDr. Milan Macek, CSc., ředitel</w:t>
      </w:r>
    </w:p>
    <w:p w14:paraId="5F9E39C5" w14:textId="77777777" w:rsidR="00FD744D" w:rsidRPr="00A44E2B" w:rsidRDefault="00FD744D" w:rsidP="00FD744D">
      <w:pPr>
        <w:jc w:val="both"/>
      </w:pPr>
      <w:r w:rsidRPr="00A44E2B">
        <w:t>IČO: 61386774</w:t>
      </w:r>
    </w:p>
    <w:p w14:paraId="541B2F87" w14:textId="4A704D9A" w:rsidR="00FD744D" w:rsidRPr="00A44E2B" w:rsidRDefault="00FD744D" w:rsidP="00FD744D">
      <w:pPr>
        <w:jc w:val="both"/>
      </w:pPr>
      <w:r w:rsidRPr="00A44E2B">
        <w:t>DIČ: Není plátce</w:t>
      </w:r>
      <w:r w:rsidR="005755EF" w:rsidRPr="00A44E2B">
        <w:t xml:space="preserve"> DPH</w:t>
      </w:r>
    </w:p>
    <w:p w14:paraId="0E5216F4" w14:textId="77777777" w:rsidR="00FD744D" w:rsidRPr="00A44E2B" w:rsidRDefault="00FD744D" w:rsidP="00FD744D">
      <w:pPr>
        <w:jc w:val="both"/>
      </w:pPr>
      <w:r w:rsidRPr="00A44E2B">
        <w:t>ID datové schránky: 2u5yduv</w:t>
      </w:r>
    </w:p>
    <w:p w14:paraId="7E474B08" w14:textId="77777777" w:rsidR="00FD744D" w:rsidRPr="00A44E2B" w:rsidRDefault="00FD744D" w:rsidP="00FD744D">
      <w:pPr>
        <w:jc w:val="both"/>
      </w:pPr>
      <w:r w:rsidRPr="00A44E2B">
        <w:t>e-mail: info@oavin.cz</w:t>
      </w:r>
    </w:p>
    <w:p w14:paraId="10165B2F" w14:textId="77777777" w:rsidR="00FD744D" w:rsidRPr="00A44E2B" w:rsidRDefault="00FD744D" w:rsidP="00FD744D">
      <w:pPr>
        <w:jc w:val="both"/>
      </w:pPr>
      <w:r w:rsidRPr="00A44E2B">
        <w:t>tel. +420 778 534 317 (ústředna)</w:t>
      </w:r>
    </w:p>
    <w:p w14:paraId="686F1E2F" w14:textId="77777777" w:rsidR="00FD744D" w:rsidRPr="00A44E2B" w:rsidRDefault="00FD744D" w:rsidP="00FD744D">
      <w:pPr>
        <w:jc w:val="both"/>
      </w:pPr>
      <w:r w:rsidRPr="00A44E2B">
        <w:t>kontaktní osoba ve věcech technických: Mgr. Ivan Kořínek</w:t>
      </w:r>
    </w:p>
    <w:p w14:paraId="531B9CD9" w14:textId="77777777" w:rsidR="00FD744D" w:rsidRPr="00A44E2B" w:rsidRDefault="00FD744D" w:rsidP="00FD744D">
      <w:pPr>
        <w:pStyle w:val="Odstavecseseznamem"/>
        <w:ind w:left="0"/>
        <w:jc w:val="both"/>
        <w:rPr>
          <w:b/>
        </w:rPr>
      </w:pPr>
      <w:r w:rsidRPr="00A44E2B">
        <w:rPr>
          <w:b/>
        </w:rPr>
        <w:t>dále jen objednatel</w:t>
      </w:r>
    </w:p>
    <w:p w14:paraId="655D06EC" w14:textId="77777777" w:rsidR="00FD744D" w:rsidRPr="00A44E2B" w:rsidRDefault="00FD744D" w:rsidP="00FD744D">
      <w:pPr>
        <w:jc w:val="center"/>
      </w:pPr>
      <w:r w:rsidRPr="00A44E2B">
        <w:t>a</w:t>
      </w:r>
    </w:p>
    <w:p w14:paraId="3CDF809F" w14:textId="77777777" w:rsidR="00FD744D" w:rsidRPr="00A44E2B" w:rsidRDefault="00FD744D" w:rsidP="00FD744D">
      <w:pPr>
        <w:jc w:val="center"/>
      </w:pPr>
    </w:p>
    <w:p w14:paraId="65563B63" w14:textId="77777777" w:rsidR="00FD744D" w:rsidRPr="00A44E2B" w:rsidRDefault="00FD744D" w:rsidP="00FD744D">
      <w:pPr>
        <w:jc w:val="both"/>
        <w:rPr>
          <w:b/>
        </w:rPr>
      </w:pPr>
      <w:r w:rsidRPr="00A44E2B">
        <w:rPr>
          <w:b/>
        </w:rPr>
        <w:t xml:space="preserve">jméno, příjmení/ název, obchodní firma/ </w:t>
      </w:r>
    </w:p>
    <w:p w14:paraId="383126D2" w14:textId="77777777" w:rsidR="00FD744D" w:rsidRPr="00A44E2B" w:rsidRDefault="00FD744D" w:rsidP="00FD744D">
      <w:pPr>
        <w:jc w:val="both"/>
      </w:pPr>
      <w:r w:rsidRPr="00A44E2B">
        <w:t>se sídlem ...,</w:t>
      </w:r>
    </w:p>
    <w:p w14:paraId="50AB28AB" w14:textId="77777777" w:rsidR="00FD744D" w:rsidRPr="00A44E2B" w:rsidRDefault="00FD744D" w:rsidP="00FD744D">
      <w:pPr>
        <w:jc w:val="both"/>
      </w:pPr>
      <w:r w:rsidRPr="00A44E2B">
        <w:t>jejímž jménem jedná ... /v případě právnické osoby/</w:t>
      </w:r>
    </w:p>
    <w:p w14:paraId="514414EB" w14:textId="77777777" w:rsidR="00FD744D" w:rsidRPr="00A44E2B" w:rsidRDefault="00FD744D" w:rsidP="00FD744D">
      <w:pPr>
        <w:jc w:val="both"/>
      </w:pPr>
      <w:r w:rsidRPr="00A44E2B">
        <w:t xml:space="preserve">IČ: </w:t>
      </w:r>
    </w:p>
    <w:p w14:paraId="3BE34B52" w14:textId="77777777" w:rsidR="00FD744D" w:rsidRPr="00A44E2B" w:rsidRDefault="00FD744D" w:rsidP="00FD744D">
      <w:pPr>
        <w:jc w:val="both"/>
      </w:pPr>
      <w:r w:rsidRPr="00A44E2B">
        <w:t xml:space="preserve">DIČ: </w:t>
      </w:r>
    </w:p>
    <w:p w14:paraId="19CD5B5D" w14:textId="27010B9C" w:rsidR="00FD744D" w:rsidRPr="00A44E2B" w:rsidRDefault="00FD744D" w:rsidP="00FD744D">
      <w:pPr>
        <w:jc w:val="both"/>
      </w:pPr>
      <w:r w:rsidRPr="00A44E2B">
        <w:t xml:space="preserve">zapsána v obchodním rejstříku vedeném Krajským/Městským soudem v… pod </w:t>
      </w:r>
      <w:proofErr w:type="spellStart"/>
      <w:r w:rsidRPr="00A44E2B">
        <w:t>sp</w:t>
      </w:r>
      <w:proofErr w:type="spellEnd"/>
      <w:r w:rsidRPr="00A44E2B">
        <w:t xml:space="preserve">. zn. </w:t>
      </w:r>
      <w:r w:rsidR="000511C0" w:rsidRPr="00A44E2B">
        <w:t>o</w:t>
      </w:r>
      <w:r w:rsidRPr="00A44E2B">
        <w:t>ddíl … vložka …</w:t>
      </w:r>
      <w:r w:rsidR="0000162D" w:rsidRPr="00A44E2B">
        <w:t xml:space="preserve"> </w:t>
      </w:r>
    </w:p>
    <w:p w14:paraId="2C58BAE4" w14:textId="32E65FEC" w:rsidR="00FD744D" w:rsidRPr="00A44E2B" w:rsidRDefault="00FD744D" w:rsidP="00FD744D">
      <w:pPr>
        <w:jc w:val="both"/>
      </w:pPr>
      <w:r w:rsidRPr="00A44E2B">
        <w:t xml:space="preserve">tel: </w:t>
      </w:r>
      <w:r w:rsidR="006A1E10" w:rsidRPr="00A44E2B">
        <w:t>…</w:t>
      </w:r>
    </w:p>
    <w:p w14:paraId="63068D13" w14:textId="1EBFC00F" w:rsidR="00FD744D" w:rsidRPr="00A44E2B" w:rsidRDefault="00FD744D" w:rsidP="00FD744D">
      <w:pPr>
        <w:jc w:val="both"/>
      </w:pPr>
      <w:r w:rsidRPr="00A44E2B">
        <w:t xml:space="preserve">e-mail: </w:t>
      </w:r>
      <w:r w:rsidR="006A1E10" w:rsidRPr="00A44E2B">
        <w:t>…</w:t>
      </w:r>
    </w:p>
    <w:p w14:paraId="3D37BE3D" w14:textId="2C49D24B" w:rsidR="00035CE2" w:rsidRPr="00A44E2B" w:rsidRDefault="00035CE2" w:rsidP="00FD744D">
      <w:pPr>
        <w:jc w:val="both"/>
        <w:rPr>
          <w:b/>
          <w:bCs/>
        </w:rPr>
      </w:pPr>
      <w:r w:rsidRPr="00A44E2B">
        <w:rPr>
          <w:b/>
          <w:bCs/>
        </w:rPr>
        <w:t>dále jen dodavatel</w:t>
      </w:r>
    </w:p>
    <w:p w14:paraId="271548A9" w14:textId="77777777" w:rsidR="00035CE2" w:rsidRPr="00A44E2B" w:rsidRDefault="00035CE2" w:rsidP="00FD744D">
      <w:pPr>
        <w:jc w:val="both"/>
      </w:pPr>
    </w:p>
    <w:p w14:paraId="01C86E13" w14:textId="021DA18F" w:rsidR="00FD744D" w:rsidRPr="00A44E2B" w:rsidRDefault="00FD744D" w:rsidP="00FD744D">
      <w:pPr>
        <w:pStyle w:val="Odstavecseseznamem"/>
        <w:numPr>
          <w:ilvl w:val="0"/>
          <w:numId w:val="22"/>
        </w:numPr>
        <w:jc w:val="both"/>
        <w:rPr>
          <w:b/>
        </w:rPr>
      </w:pPr>
      <w:r w:rsidRPr="00A44E2B">
        <w:rPr>
          <w:b/>
        </w:rPr>
        <w:t xml:space="preserve">objednatel a </w:t>
      </w:r>
      <w:r w:rsidR="00D429D0" w:rsidRPr="00A44E2B">
        <w:rPr>
          <w:b/>
        </w:rPr>
        <w:t>dodavatel</w:t>
      </w:r>
      <w:r w:rsidRPr="00A44E2B">
        <w:rPr>
          <w:b/>
        </w:rPr>
        <w:t xml:space="preserve"> dále jen smluvní strany </w:t>
      </w:r>
    </w:p>
    <w:p w14:paraId="0133915E" w14:textId="77777777" w:rsidR="00FD744D" w:rsidRPr="00A44E2B" w:rsidRDefault="00FD744D" w:rsidP="00FD744D">
      <w:pPr>
        <w:jc w:val="center"/>
      </w:pPr>
    </w:p>
    <w:p w14:paraId="325C7B0C" w14:textId="7C989538" w:rsidR="00FD744D" w:rsidRPr="00A44E2B" w:rsidRDefault="00035CE2" w:rsidP="00FD744D">
      <w:pPr>
        <w:spacing w:after="480"/>
        <w:jc w:val="both"/>
      </w:pPr>
      <w:r w:rsidRPr="00A44E2B">
        <w:t xml:space="preserve">smluvní strany </w:t>
      </w:r>
      <w:r w:rsidR="00FD744D" w:rsidRPr="00A44E2B">
        <w:t>uzavírají v souladu s ustanoveními § 1746 odst. 2 a § 2371 a následujících zákona č. 89/2012 Sb., občanský zákoník v platném znění (dále jen „občanský zákoník“) tuto smlouvu</w:t>
      </w:r>
      <w:r w:rsidR="00FD744D" w:rsidRPr="00A44E2B">
        <w:rPr>
          <w:b/>
          <w:bCs/>
          <w:i/>
          <w:iCs/>
        </w:rPr>
        <w:t xml:space="preserve"> </w:t>
      </w:r>
      <w:r w:rsidR="00FD744D" w:rsidRPr="00A44E2B">
        <w:rPr>
          <w:bCs/>
          <w:iCs/>
        </w:rPr>
        <w:t xml:space="preserve">o </w:t>
      </w:r>
      <w:r w:rsidR="002C5BE1" w:rsidRPr="00A44E2B">
        <w:rPr>
          <w:bCs/>
          <w:iCs/>
        </w:rPr>
        <w:t>rekonstrukci prostor</w:t>
      </w:r>
      <w:r w:rsidR="00FD744D" w:rsidRPr="00A44E2B">
        <w:rPr>
          <w:b/>
          <w:bCs/>
          <w:i/>
          <w:iCs/>
        </w:rPr>
        <w:t xml:space="preserve"> </w:t>
      </w:r>
      <w:r w:rsidR="00FD744D" w:rsidRPr="00A44E2B">
        <w:t>k veřejné zakázce „</w:t>
      </w:r>
      <w:r w:rsidR="001B6AD6" w:rsidRPr="00A44E2B">
        <w:rPr>
          <w:b/>
        </w:rPr>
        <w:t>Rekonstrukce prostor</w:t>
      </w:r>
      <w:r w:rsidR="00FD744D" w:rsidRPr="00A44E2B">
        <w:t>“ následujícího znění a obsahu (dále jen smlouva).</w:t>
      </w:r>
    </w:p>
    <w:p w14:paraId="20E9592A" w14:textId="77777777" w:rsidR="00FD744D" w:rsidRPr="00A44E2B" w:rsidRDefault="00FD744D" w:rsidP="00FD744D">
      <w:pPr>
        <w:spacing w:before="240"/>
        <w:jc w:val="center"/>
        <w:rPr>
          <w:b/>
          <w:caps/>
        </w:rPr>
      </w:pPr>
      <w:r w:rsidRPr="00A44E2B">
        <w:rPr>
          <w:b/>
          <w:caps/>
        </w:rPr>
        <w:t>Článek 1</w:t>
      </w:r>
    </w:p>
    <w:p w14:paraId="330E76D7" w14:textId="77777777" w:rsidR="00FD744D" w:rsidRPr="00A44E2B" w:rsidRDefault="00FD744D" w:rsidP="00FD744D">
      <w:pPr>
        <w:pStyle w:val="Nadpis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44E2B">
        <w:rPr>
          <w:rFonts w:ascii="Times New Roman" w:hAnsi="Times New Roman"/>
          <w:i w:val="0"/>
          <w:sz w:val="24"/>
          <w:szCs w:val="24"/>
        </w:rPr>
        <w:t>Předmět smlouvy</w:t>
      </w:r>
    </w:p>
    <w:p w14:paraId="4CF1D861" w14:textId="77777777" w:rsidR="00FD744D" w:rsidRPr="00A44E2B" w:rsidRDefault="00FD744D" w:rsidP="00FD744D">
      <w:pPr>
        <w:numPr>
          <w:ilvl w:val="0"/>
          <w:numId w:val="23"/>
        </w:numPr>
        <w:spacing w:before="120" w:after="120"/>
        <w:ind w:left="284" w:hanging="284"/>
        <w:jc w:val="both"/>
      </w:pPr>
      <w:r w:rsidRPr="00A44E2B">
        <w:t>Předmětem smlouvy:</w:t>
      </w:r>
    </w:p>
    <w:p w14:paraId="7506E142" w14:textId="5353D2A4" w:rsidR="00FD744D" w:rsidRPr="00A44E2B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bookmarkStart w:id="2" w:name="_Hlk194568075"/>
      <w:r w:rsidRPr="00A44E2B">
        <w:t xml:space="preserve">je závazek </w:t>
      </w:r>
      <w:r w:rsidR="00D429D0" w:rsidRPr="00A44E2B">
        <w:t>dodavatel</w:t>
      </w:r>
      <w:r w:rsidRPr="00A44E2B">
        <w:t xml:space="preserve">e, </w:t>
      </w:r>
      <w:r w:rsidR="001B6AD6" w:rsidRPr="00A44E2B">
        <w:t>provést rekonstrukci</w:t>
      </w:r>
      <w:r w:rsidRPr="00A44E2B">
        <w:t xml:space="preserve"> </w:t>
      </w:r>
      <w:bookmarkEnd w:id="2"/>
      <w:r w:rsidRPr="00A44E2B">
        <w:t xml:space="preserve">dle přílohy č. 1 </w:t>
      </w:r>
      <w:proofErr w:type="gramStart"/>
      <w:r w:rsidRPr="00A44E2B">
        <w:t>smlouvy - specifikace</w:t>
      </w:r>
      <w:proofErr w:type="gramEnd"/>
      <w:r w:rsidRPr="00A44E2B">
        <w:t xml:space="preserve"> předmětu plnění</w:t>
      </w:r>
    </w:p>
    <w:p w14:paraId="23FC853C" w14:textId="7051036A" w:rsidR="00FD744D" w:rsidRPr="00A44E2B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r w:rsidRPr="00A44E2B">
        <w:t xml:space="preserve">závazek objednatele zaplatit </w:t>
      </w:r>
      <w:r w:rsidR="00D429D0" w:rsidRPr="00A44E2B">
        <w:t>dodavatel</w:t>
      </w:r>
      <w:r w:rsidRPr="00A44E2B">
        <w:t>i sjednanou cenu.</w:t>
      </w:r>
    </w:p>
    <w:p w14:paraId="116C3B07" w14:textId="4A2DE7B5" w:rsidR="00BE75C4" w:rsidRPr="00A44E2B" w:rsidRDefault="00BE75C4">
      <w:r w:rsidRPr="00A44E2B">
        <w:br w:type="page"/>
      </w:r>
    </w:p>
    <w:p w14:paraId="0021273B" w14:textId="77777777" w:rsidR="00FD744D" w:rsidRPr="00A44E2B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A44E2B">
        <w:rPr>
          <w:b/>
        </w:rPr>
        <w:lastRenderedPageBreak/>
        <w:t>ČLÁNEK 2</w:t>
      </w:r>
    </w:p>
    <w:p w14:paraId="12EAB1F1" w14:textId="77777777" w:rsidR="00FD744D" w:rsidRPr="00A44E2B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A44E2B">
        <w:rPr>
          <w:b/>
        </w:rPr>
        <w:t>Doba a místo plnění</w:t>
      </w:r>
    </w:p>
    <w:p w14:paraId="50B9242C" w14:textId="676168F7" w:rsidR="00FD744D" w:rsidRPr="00A44E2B" w:rsidRDefault="00FD744D" w:rsidP="00FD744D">
      <w:pPr>
        <w:numPr>
          <w:ilvl w:val="0"/>
          <w:numId w:val="24"/>
        </w:numPr>
        <w:spacing w:after="120" w:line="276" w:lineRule="auto"/>
        <w:ind w:left="284" w:hanging="284"/>
        <w:jc w:val="both"/>
        <w:rPr>
          <w:lang w:eastAsia="en-US"/>
        </w:rPr>
      </w:pPr>
      <w:r w:rsidRPr="00A44E2B">
        <w:rPr>
          <w:lang w:eastAsia="en-US"/>
        </w:rPr>
        <w:t xml:space="preserve">Požadovaný termín dodání </w:t>
      </w:r>
      <w:r w:rsidR="001B6AD6" w:rsidRPr="00A44E2B">
        <w:rPr>
          <w:lang w:eastAsia="en-US"/>
        </w:rPr>
        <w:t>je květen 2026</w:t>
      </w:r>
      <w:r w:rsidRPr="00A44E2B">
        <w:rPr>
          <w:lang w:eastAsia="en-US"/>
        </w:rPr>
        <w:t xml:space="preserve">. </w:t>
      </w:r>
    </w:p>
    <w:p w14:paraId="69AD87FA" w14:textId="77777777" w:rsidR="00FD744D" w:rsidRPr="00A44E2B" w:rsidRDefault="00FD744D" w:rsidP="00FD744D">
      <w:pPr>
        <w:numPr>
          <w:ilvl w:val="0"/>
          <w:numId w:val="24"/>
        </w:numPr>
        <w:spacing w:after="480"/>
        <w:ind w:left="284" w:hanging="284"/>
        <w:jc w:val="both"/>
        <w:rPr>
          <w:lang w:eastAsia="en-US"/>
        </w:rPr>
      </w:pPr>
      <w:r w:rsidRPr="00A44E2B">
        <w:rPr>
          <w:lang w:eastAsia="en-US"/>
        </w:rPr>
        <w:t>Místem plnění je sídlo objednatele.</w:t>
      </w:r>
    </w:p>
    <w:p w14:paraId="414665A0" w14:textId="77777777" w:rsidR="00FD744D" w:rsidRPr="00A44E2B" w:rsidRDefault="00FD744D" w:rsidP="00FD744D">
      <w:pPr>
        <w:keepNext/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A44E2B">
        <w:t xml:space="preserve"> </w:t>
      </w:r>
      <w:r w:rsidRPr="00A44E2B">
        <w:rPr>
          <w:b/>
        </w:rPr>
        <w:t>ČLÁNEK 3</w:t>
      </w:r>
    </w:p>
    <w:p w14:paraId="44B582DE" w14:textId="77777777" w:rsidR="00FD744D" w:rsidRPr="00A44E2B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A44E2B">
        <w:rPr>
          <w:b/>
          <w:bCs/>
          <w:kern w:val="32"/>
        </w:rPr>
        <w:t>Cena a platební podmínky</w:t>
      </w:r>
    </w:p>
    <w:p w14:paraId="026A4D07" w14:textId="77777777" w:rsidR="00FD744D" w:rsidRPr="00A44E2B" w:rsidRDefault="00FD744D" w:rsidP="00FD744D">
      <w:pPr>
        <w:keepNext/>
        <w:numPr>
          <w:ilvl w:val="0"/>
          <w:numId w:val="25"/>
        </w:numPr>
        <w:spacing w:before="240" w:after="120" w:line="276" w:lineRule="auto"/>
        <w:ind w:left="284" w:hanging="284"/>
        <w:jc w:val="both"/>
        <w:outlineLvl w:val="2"/>
        <w:rPr>
          <w:bCs/>
          <w:lang w:eastAsia="en-US"/>
        </w:rPr>
      </w:pPr>
      <w:r w:rsidRPr="00A44E2B">
        <w:rPr>
          <w:lang w:eastAsia="en-US"/>
        </w:rPr>
        <w:t xml:space="preserve">Cena za předmět plnění v Kč se sjednává </w:t>
      </w:r>
      <w:r w:rsidRPr="00A44E2B">
        <w:rPr>
          <w:bCs/>
          <w:lang w:eastAsia="en-US"/>
        </w:rPr>
        <w:t>ve výši:</w:t>
      </w: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6"/>
        <w:gridCol w:w="1474"/>
        <w:gridCol w:w="1474"/>
        <w:gridCol w:w="1474"/>
      </w:tblGrid>
      <w:tr w:rsidR="00FD744D" w:rsidRPr="00A44E2B" w14:paraId="37FBEFB5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9B8DE" w14:textId="77777777" w:rsidR="00FD744D" w:rsidRPr="00A44E2B" w:rsidRDefault="00FD744D">
            <w:pPr>
              <w:keepNext/>
              <w:spacing w:line="276" w:lineRule="auto"/>
              <w:jc w:val="center"/>
            </w:pPr>
            <w:r w:rsidRPr="00A44E2B">
              <w:rPr>
                <w:b/>
              </w:rPr>
              <w:t>Označení a bližší specifikace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606C0" w14:textId="77777777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A44E2B">
              <w:rPr>
                <w:b/>
              </w:rPr>
              <w:t xml:space="preserve">Cena </w:t>
            </w:r>
          </w:p>
          <w:p w14:paraId="49CDC605" w14:textId="77777777" w:rsidR="00FD744D" w:rsidRPr="00A44E2B" w:rsidRDefault="00FD744D">
            <w:pPr>
              <w:keepNext/>
              <w:spacing w:line="276" w:lineRule="auto"/>
              <w:jc w:val="center"/>
            </w:pPr>
            <w:r w:rsidRPr="00A44E2B">
              <w:rPr>
                <w:b/>
              </w:rPr>
              <w:t>bez DPH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6329896" w14:textId="7026FBA8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A44E2B">
              <w:rPr>
                <w:b/>
              </w:rPr>
              <w:t>DPH</w:t>
            </w:r>
            <w:r w:rsidR="0000162D" w:rsidRPr="00A44E2B">
              <w:rPr>
                <w:b/>
              </w:rPr>
              <w:t xml:space="preserve"> </w:t>
            </w:r>
            <w:proofErr w:type="gramStart"/>
            <w:r w:rsidRPr="00A44E2B">
              <w:rPr>
                <w:b/>
              </w:rPr>
              <w:t>21%</w:t>
            </w:r>
            <w:proofErr w:type="gramEnd"/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4AC7B" w14:textId="77777777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A44E2B">
              <w:rPr>
                <w:b/>
              </w:rPr>
              <w:t xml:space="preserve">Cena </w:t>
            </w:r>
          </w:p>
          <w:p w14:paraId="4A299312" w14:textId="77777777" w:rsidR="00FD744D" w:rsidRPr="00A44E2B" w:rsidRDefault="00FD744D">
            <w:pPr>
              <w:keepNext/>
              <w:spacing w:line="276" w:lineRule="auto"/>
              <w:jc w:val="center"/>
            </w:pPr>
            <w:r w:rsidRPr="00A44E2B">
              <w:rPr>
                <w:b/>
              </w:rPr>
              <w:t>s DPH</w:t>
            </w:r>
          </w:p>
        </w:tc>
      </w:tr>
      <w:tr w:rsidR="00FD744D" w:rsidRPr="00A44E2B" w14:paraId="69B2B363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7C83F" w14:textId="6D337865" w:rsidR="00FD744D" w:rsidRPr="00A44E2B" w:rsidRDefault="001B6AD6">
            <w:pPr>
              <w:keepNext/>
              <w:spacing w:line="276" w:lineRule="auto"/>
            </w:pPr>
            <w:r w:rsidRPr="00A44E2B">
              <w:t>Rekonstrukce</w:t>
            </w:r>
            <w:r w:rsidR="00FD744D" w:rsidRPr="00A44E2B">
              <w:t xml:space="preserve"> dle zadání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9FC65" w14:textId="77777777" w:rsidR="00FD744D" w:rsidRPr="00A44E2B" w:rsidRDefault="00FD744D">
            <w:pPr>
              <w:keepNext/>
              <w:spacing w:line="276" w:lineRule="auto"/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6A8F" w14:textId="77777777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CECF" w14:textId="77777777" w:rsidR="00FD744D" w:rsidRPr="00A44E2B" w:rsidRDefault="00FD744D">
            <w:pPr>
              <w:keepNext/>
              <w:spacing w:line="276" w:lineRule="auto"/>
            </w:pPr>
          </w:p>
        </w:tc>
      </w:tr>
      <w:tr w:rsidR="00FD744D" w:rsidRPr="00A44E2B" w14:paraId="52C32765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doub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8D527" w14:textId="77777777" w:rsidR="00FD744D" w:rsidRPr="00A44E2B" w:rsidRDefault="00FD744D">
            <w:pPr>
              <w:keepNext/>
              <w:spacing w:line="276" w:lineRule="auto"/>
            </w:pPr>
            <w:r w:rsidRPr="00A44E2B">
              <w:t>Případné další náklady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35FA22" w14:textId="77777777" w:rsidR="00FD744D" w:rsidRPr="00A44E2B" w:rsidRDefault="00FD744D">
            <w:pPr>
              <w:keepNext/>
              <w:spacing w:line="276" w:lineRule="auto"/>
            </w:pPr>
            <w:r w:rsidRPr="00A44E2B">
              <w:t> 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AC9B055" w14:textId="77777777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E9FBE" w14:textId="77777777" w:rsidR="00FD744D" w:rsidRPr="00A44E2B" w:rsidRDefault="00FD744D">
            <w:pPr>
              <w:keepNext/>
              <w:spacing w:line="276" w:lineRule="auto"/>
            </w:pPr>
            <w:r w:rsidRPr="00A44E2B">
              <w:t> </w:t>
            </w:r>
          </w:p>
        </w:tc>
      </w:tr>
      <w:tr w:rsidR="00FD744D" w:rsidRPr="00A44E2B" w14:paraId="66B4A6B5" w14:textId="77777777">
        <w:tc>
          <w:tcPr>
            <w:tcW w:w="46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B32B2" w14:textId="77777777" w:rsidR="00FD744D" w:rsidRPr="00A44E2B" w:rsidRDefault="00FD744D">
            <w:pPr>
              <w:spacing w:line="276" w:lineRule="auto"/>
            </w:pPr>
            <w:r w:rsidRPr="00A44E2B">
              <w:rPr>
                <w:b/>
              </w:rPr>
              <w:t>Celkem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4AACF" w14:textId="77777777" w:rsidR="00FD744D" w:rsidRPr="00A44E2B" w:rsidRDefault="00FD744D">
            <w:pPr>
              <w:spacing w:line="276" w:lineRule="auto"/>
            </w:pP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1F9A05D" w14:textId="77777777" w:rsidR="00FD744D" w:rsidRPr="00A44E2B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9EF79" w14:textId="77777777" w:rsidR="00FD744D" w:rsidRPr="00A44E2B" w:rsidRDefault="00FD744D">
            <w:pPr>
              <w:spacing w:line="276" w:lineRule="auto"/>
            </w:pPr>
          </w:p>
        </w:tc>
      </w:tr>
    </w:tbl>
    <w:p w14:paraId="3B6C5EF9" w14:textId="77777777" w:rsidR="00FD744D" w:rsidRPr="00A44E2B" w:rsidRDefault="00FD744D" w:rsidP="00FD744D">
      <w:pPr>
        <w:spacing w:after="120" w:line="276" w:lineRule="auto"/>
        <w:jc w:val="both"/>
        <w:rPr>
          <w:lang w:eastAsia="en-US"/>
        </w:rPr>
      </w:pPr>
    </w:p>
    <w:p w14:paraId="47843B8A" w14:textId="799D1FE7" w:rsidR="00FD744D" w:rsidRPr="00A44E2B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A44E2B">
        <w:rPr>
          <w:lang w:eastAsia="en-US"/>
        </w:rPr>
        <w:t xml:space="preserve">Splatnost faktury činí 14 dnů ode dne jejího prokazatelného doručení na adresu sídla objednatele. Zaplacením se rozumí okamžikem odepsání příslušné částky z účtu objednatele ve prospěch účtu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>e.</w:t>
      </w:r>
    </w:p>
    <w:p w14:paraId="36ED091B" w14:textId="77777777" w:rsidR="00FD744D" w:rsidRPr="00A44E2B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A44E2B">
        <w:rPr>
          <w:lang w:eastAsia="en-US"/>
        </w:rPr>
        <w:t xml:space="preserve">Podkladem pro zaplacení bude daňový doklad (faktura), který bude obsahovat náležitosti, stanovené daňovými a účetními předpisy. </w:t>
      </w:r>
    </w:p>
    <w:p w14:paraId="3E8320D5" w14:textId="2993B9B3" w:rsidR="00FD744D" w:rsidRPr="00A44E2B" w:rsidRDefault="00FD744D" w:rsidP="00FD744D">
      <w:pPr>
        <w:numPr>
          <w:ilvl w:val="0"/>
          <w:numId w:val="25"/>
        </w:numPr>
        <w:spacing w:after="480"/>
        <w:ind w:left="284" w:hanging="284"/>
        <w:jc w:val="both"/>
        <w:rPr>
          <w:lang w:eastAsia="en-US"/>
        </w:rPr>
      </w:pPr>
      <w:r w:rsidRPr="00A44E2B">
        <w:rPr>
          <w:lang w:eastAsia="en-US"/>
        </w:rPr>
        <w:t xml:space="preserve">Dojde-li ke dni uskutečnění zdanitelného plnění ke změně sazby DPH, bude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 xml:space="preserve"> fakturovat objednateli cenu s DPH ve výši odpovídající platné právní úpravě ke dni uskutečnění zdanitelného plnění. </w:t>
      </w:r>
    </w:p>
    <w:p w14:paraId="478F64EB" w14:textId="77777777" w:rsidR="00FD744D" w:rsidRPr="00A44E2B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A44E2B">
        <w:rPr>
          <w:b/>
        </w:rPr>
        <w:t>ČLÁNEK 4</w:t>
      </w:r>
    </w:p>
    <w:p w14:paraId="631F6788" w14:textId="77777777" w:rsidR="00FD744D" w:rsidRPr="00A44E2B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A44E2B">
        <w:rPr>
          <w:b/>
        </w:rPr>
        <w:t>Práva a povinnosti stran</w:t>
      </w:r>
    </w:p>
    <w:p w14:paraId="46D3B648" w14:textId="12377A31" w:rsidR="00FD744D" w:rsidRPr="00A44E2B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A44E2B">
        <w:rPr>
          <w:lang w:eastAsia="en-US"/>
        </w:rPr>
        <w:t xml:space="preserve">Objednatel poskytne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 xml:space="preserve">i pro plnění závazku podle této smlouvy nevyhnutelné podmínky potřebné pro plnění podle této smlouvy. Objednatel se zavazuje poskytnout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>i veškeré jím požadované informace potřebné pro plnění podle této smlouvy.</w:t>
      </w:r>
    </w:p>
    <w:p w14:paraId="4304B4E2" w14:textId="367F3D7D" w:rsidR="00FD744D" w:rsidRPr="00A44E2B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A44E2B">
        <w:rPr>
          <w:lang w:eastAsia="en-US"/>
        </w:rPr>
        <w:t xml:space="preserve">Objednatel má právo náležitého vysvětlení činnosti při veškerých činnostech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>e.</w:t>
      </w:r>
    </w:p>
    <w:p w14:paraId="269C1BF1" w14:textId="77777777" w:rsidR="00FD744D" w:rsidRPr="00A44E2B" w:rsidRDefault="00FD744D" w:rsidP="00FD744D">
      <w:pPr>
        <w:spacing w:after="240" w:line="276" w:lineRule="auto"/>
        <w:jc w:val="both"/>
        <w:rPr>
          <w:b/>
          <w:lang w:eastAsia="en-US"/>
        </w:rPr>
      </w:pPr>
      <w:r w:rsidRPr="00A44E2B">
        <w:rPr>
          <w:b/>
          <w:lang w:eastAsia="en-US"/>
        </w:rPr>
        <w:t>Ochrana důvěrných informací</w:t>
      </w:r>
    </w:p>
    <w:p w14:paraId="4DE8BE39" w14:textId="604D4990" w:rsidR="00FD744D" w:rsidRPr="00A44E2B" w:rsidRDefault="00D429D0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b/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se zavazuje zachovávat mlčenlivost o skutečnostech týkajících se objednatele, o nichž se dozví při anebo v souvislosti s plněním předmětu dle této smlouvy, jakož i o veškerých dalších skutečnostech a informacích, které byly nebo budou dodavateli sděleny objednatelem, a které zároveň nejsou veřejně známé nebo dostupné, a o nichž lze zároveň důvodně předpokládat, že na jejich utajení má objednatel zájem </w:t>
      </w:r>
      <w:r w:rsidR="00FD744D" w:rsidRPr="00A44E2B">
        <w:rPr>
          <w:b/>
          <w:snapToGrid w:val="0"/>
        </w:rPr>
        <w:t>(dále jen „Důvěrné informace“).</w:t>
      </w:r>
    </w:p>
    <w:p w14:paraId="74D66A18" w14:textId="36286915" w:rsidR="00FD744D" w:rsidRPr="00A44E2B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 xml:space="preserve">Všechny informace a údaje ke kterým získá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přístup mají důvěrný charakter, a to i v případech, že je nelze považovat za obchodní tajemství ve smyslu </w:t>
      </w:r>
      <w:proofErr w:type="spellStart"/>
      <w:r w:rsidRPr="00A44E2B">
        <w:rPr>
          <w:snapToGrid w:val="0"/>
        </w:rPr>
        <w:t>ust</w:t>
      </w:r>
      <w:proofErr w:type="spellEnd"/>
      <w:r w:rsidRPr="00A44E2B">
        <w:rPr>
          <w:snapToGrid w:val="0"/>
        </w:rPr>
        <w:t xml:space="preserve">. § 504 </w:t>
      </w:r>
      <w:r w:rsidRPr="00A44E2B">
        <w:rPr>
          <w:snapToGrid w:val="0"/>
        </w:rPr>
        <w:lastRenderedPageBreak/>
        <w:t>zákona č. 89/2012 Sb., občanský zákoník, ve znění pozdějších předpisů (dále jen „občanský zákoník“) nebo nejsou chráněny jiným právním předpisem.</w:t>
      </w:r>
    </w:p>
    <w:p w14:paraId="60B10F4E" w14:textId="7F673F86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se rovněž zavazuje zachovávat mlčenlivost o skutečnostech a informacích, které objednatel výslovně označil za Důvěrné informace</w:t>
      </w:r>
      <w:r w:rsidR="00FD744D" w:rsidRPr="00A44E2B">
        <w:rPr>
          <w:b/>
          <w:snapToGrid w:val="0"/>
        </w:rPr>
        <w:t>, a to např. prostřednictvím poznámky „Důvěrné“, „Tajné“ či obdobně.</w:t>
      </w:r>
      <w:r w:rsidR="00FD744D" w:rsidRPr="00A44E2B">
        <w:rPr>
          <w:snapToGrid w:val="0"/>
        </w:rPr>
        <w:t xml:space="preserve"> Takto označené informace jsou považovány za Důvěrné informace ve smyslu této smlouvy. Pro vyloučení pochybností se stanoví, že Důvěrné informace není nutné výslovně označovat, avšak za účelem vyloučení pochybností o charakteru informací je jejich označení vhodné, a to zejména v případech, kdy by nemusel být charakter informací jednoznačně zřejmý.</w:t>
      </w:r>
    </w:p>
    <w:p w14:paraId="03A51575" w14:textId="336719E2" w:rsidR="00FD744D" w:rsidRPr="00A44E2B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 xml:space="preserve">Při realizaci plnění dle této smlouvy se nepředpokládá, že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bude mít přístup k osobním údajům, u nichž je objednatel správcem, pokud se přesto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nahodile dostane do styku s osobními údaji, platí pro tuto situaci ustanovení této části smlouvy o Důvěrných informacích. Tím nejsou dotčeny povinnosti stran podle obecných právních předpisů o ochraně osobních údajů.</w:t>
      </w:r>
    </w:p>
    <w:p w14:paraId="6F34CF1E" w14:textId="77777777" w:rsidR="00FD744D" w:rsidRPr="00A44E2B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A44E2B">
        <w:rPr>
          <w:sz w:val="24"/>
          <w:szCs w:val="24"/>
        </w:rPr>
        <w:t>Nakládání s Důvěrnými informacemi</w:t>
      </w:r>
    </w:p>
    <w:p w14:paraId="57FA92C8" w14:textId="77777777" w:rsidR="00FD744D" w:rsidRPr="00A44E2B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A44E2B">
        <w:rPr>
          <w:snapToGrid w:val="0"/>
        </w:rPr>
        <w:t>Při nakládání s Důvěrnými informacemi sjednávají strany tyto závazky:</w:t>
      </w:r>
    </w:p>
    <w:p w14:paraId="42DDD740" w14:textId="0964FA9E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se zavazuje zajistit, aby nedošlo k úniku, zveřejnění a šíření Důvěrných informací získaných od objednatele, a zavazuje se chránit tajnost Důvěrných informací minimálně stejným způsobem, jakým chrání své obchodní tajemství, vždy však způsobem obvyklým pro ochranu obchodního tajemství.</w:t>
      </w:r>
    </w:p>
    <w:p w14:paraId="53978EDC" w14:textId="6D1EF6C2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se zavazuje vynaložit maximální úsilí, aby tajnost Důvěrných informací byla důsledně dodržována jeho zaměstnanci i případnými subdodavateli, které k plnění účelu spolupráce použije, pokud mu jejich použití objednatel v rámci plnění dle této smlouvy umožní. Použije-li </w:t>
      </w: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k plnění třetí osoby, je oprávněn zpřístupnit jí Důvěrné informace získané od objednatele pouze v rozsahu nezbytně nutném pro jí poskytované plnění a je rovněž povinen zavázat třetí osobu povinností mlčenlivosti v rozsahu dle této smlouvy. Za porušení povinností třetí osobou odpovídá </w:t>
      </w: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>.</w:t>
      </w:r>
    </w:p>
    <w:p w14:paraId="78507B3D" w14:textId="28593243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je povinen zajistit, aby je</w:t>
      </w:r>
      <w:r w:rsidR="000017DB" w:rsidRPr="00A44E2B">
        <w:rPr>
          <w:snapToGrid w:val="0"/>
        </w:rPr>
        <w:t>ho</w:t>
      </w:r>
      <w:r w:rsidR="00FD744D" w:rsidRPr="00A44E2B">
        <w:rPr>
          <w:snapToGrid w:val="0"/>
        </w:rPr>
        <w:t xml:space="preserve"> zaměstnanci, kterým budou zpřístupněny Důvěrné informace, podepsali dohodu, kterou se každý zaměstnanec zaváže dodržovat povinnosti odpovídající povinnostem dle ujednání této části smlouvy. Smluvní strany se zavazují k omezení šíření Důvěrných informací či údajů pouze na ty zaměstnance, kteří se musí přímo zúčastnit na vzájemné spolupráci smluvních stran.</w:t>
      </w:r>
    </w:p>
    <w:p w14:paraId="4294D3E3" w14:textId="7172F190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se zavazuje nakládat s Důvěrnými informacemi získanými od </w:t>
      </w:r>
      <w:r w:rsidR="00D35FDA" w:rsidRPr="00A44E2B">
        <w:rPr>
          <w:snapToGrid w:val="0"/>
        </w:rPr>
        <w:t>zadavatele</w:t>
      </w:r>
      <w:r w:rsidR="00FD744D" w:rsidRPr="00A44E2B">
        <w:rPr>
          <w:snapToGrid w:val="0"/>
        </w:rPr>
        <w:t xml:space="preserve"> výlučně pro účel dle této smlouvy, a nikoliv pro jakýkoliv jiný účel. </w:t>
      </w:r>
    </w:p>
    <w:p w14:paraId="629187B3" w14:textId="012DAEC9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bude odpovědný za nedbalostní i úmyslné sdělení nebo užití Důvěrných informací.</w:t>
      </w:r>
    </w:p>
    <w:p w14:paraId="040FCEE0" w14:textId="27C0A794" w:rsidR="00FD744D" w:rsidRPr="00A44E2B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 xml:space="preserve">Pokud by došlo k situaci, u které lze důvodně předpokládat ohrožení důvěrnosti Důvěrných informací, zavazuje se dodavatel oznámit tuto skutečnost objednateli. Pokud by objednatel pojal důvodné podezření, že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není schopen zabezpečit </w:t>
      </w:r>
      <w:r w:rsidRPr="00A44E2B">
        <w:rPr>
          <w:snapToGrid w:val="0"/>
        </w:rPr>
        <w:lastRenderedPageBreak/>
        <w:t xml:space="preserve">ochranu Důvěrných informací dle této smlouvy, je oprávněn požádat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e o to, aby prokázal plnění povinností dle této smlouvy a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této žádosti vyhoví.</w:t>
      </w:r>
    </w:p>
    <w:p w14:paraId="6D80099D" w14:textId="746207E2" w:rsidR="00FD744D" w:rsidRPr="00A44E2B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je povinen po ukončení plnění dle této smlouvy veškeré nosiče, na kterých jsou případně Důvěrné informace zachyceny, neprodleně předat objednateli nebo je zničit. </w:t>
      </w:r>
    </w:p>
    <w:p w14:paraId="1A9F7130" w14:textId="77777777" w:rsidR="00FD744D" w:rsidRPr="00A44E2B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A44E2B">
        <w:rPr>
          <w:sz w:val="24"/>
          <w:szCs w:val="24"/>
        </w:rPr>
        <w:t>Doba trvání ochrany informací</w:t>
      </w:r>
    </w:p>
    <w:p w14:paraId="71C60338" w14:textId="653C14DD" w:rsidR="00FD744D" w:rsidRPr="00A44E2B" w:rsidRDefault="00D429D0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A44E2B">
        <w:rPr>
          <w:snapToGrid w:val="0"/>
        </w:rPr>
        <w:t>Dodavatel</w:t>
      </w:r>
      <w:r w:rsidR="00FD744D" w:rsidRPr="00A44E2B">
        <w:rPr>
          <w:snapToGrid w:val="0"/>
        </w:rPr>
        <w:t xml:space="preserve"> bere na vědomí, že jeho</w:t>
      </w:r>
      <w:r w:rsidR="00FD744D" w:rsidRPr="00A44E2B">
        <w:t xml:space="preserve"> závazky k ochraně informací a</w:t>
      </w:r>
      <w:r w:rsidR="00FD744D" w:rsidRPr="00A44E2B">
        <w:rPr>
          <w:snapToGrid w:val="0"/>
        </w:rPr>
        <w:t xml:space="preserve"> mlčenlivosti dle ujednání v tomto článku smlouvy trvají bez časového omezení i po zániku smlouvy, neboť informace získané při plnění předmětu smlouvy lze zneužít i po uplynutí jakékoli sjednané doby. </w:t>
      </w:r>
    </w:p>
    <w:p w14:paraId="547671CE" w14:textId="77777777" w:rsidR="00FD744D" w:rsidRPr="00A44E2B" w:rsidRDefault="00FD744D" w:rsidP="00FD744D">
      <w:pPr>
        <w:pStyle w:val="Nzev"/>
        <w:keepNext/>
        <w:widowControl w:val="0"/>
        <w:spacing w:after="120"/>
        <w:jc w:val="left"/>
        <w:rPr>
          <w:snapToGrid w:val="0"/>
          <w:sz w:val="24"/>
          <w:szCs w:val="24"/>
        </w:rPr>
      </w:pPr>
      <w:r w:rsidRPr="00A44E2B">
        <w:rPr>
          <w:snapToGrid w:val="0"/>
          <w:sz w:val="24"/>
          <w:szCs w:val="24"/>
        </w:rPr>
        <w:t>Kontaktní osoby</w:t>
      </w:r>
    </w:p>
    <w:p w14:paraId="5EF8CC6B" w14:textId="77777777" w:rsidR="00FD744D" w:rsidRPr="00A44E2B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A44E2B">
        <w:rPr>
          <w:snapToGrid w:val="0"/>
        </w:rPr>
        <w:t>Následující kontaktní osoby jsou odpovědné za správu a administraci, včetně předávání či obdržení Důvěrných informací dle této smlouvy.</w:t>
      </w:r>
    </w:p>
    <w:p w14:paraId="09C703E2" w14:textId="18806641" w:rsidR="00FD744D" w:rsidRPr="00A44E2B" w:rsidRDefault="00FD744D" w:rsidP="00FD744D">
      <w:pPr>
        <w:tabs>
          <w:tab w:val="left" w:pos="2835"/>
        </w:tabs>
        <w:spacing w:before="60"/>
        <w:rPr>
          <w:snapToGrid w:val="0"/>
        </w:rPr>
      </w:pPr>
      <w:r w:rsidRPr="00A44E2B">
        <w:rPr>
          <w:snapToGrid w:val="0"/>
        </w:rPr>
        <w:t xml:space="preserve">za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>e:</w:t>
      </w:r>
      <w:r w:rsidR="00B72265" w:rsidRPr="00A44E2B">
        <w:rPr>
          <w:snapToGrid w:val="0"/>
        </w:rPr>
        <w:t xml:space="preserve"> </w:t>
      </w:r>
      <w:r w:rsidRPr="00A44E2B">
        <w:rPr>
          <w:snapToGrid w:val="0"/>
        </w:rPr>
        <w:t>..., tel. ..., email ...</w:t>
      </w:r>
    </w:p>
    <w:p w14:paraId="32ECB4DE" w14:textId="1D5036ED" w:rsidR="00FD744D" w:rsidRPr="00A44E2B" w:rsidRDefault="00FD744D" w:rsidP="005755EF">
      <w:pPr>
        <w:tabs>
          <w:tab w:val="left" w:pos="2835"/>
        </w:tabs>
        <w:spacing w:before="60"/>
        <w:jc w:val="both"/>
        <w:rPr>
          <w:snapToGrid w:val="0"/>
        </w:rPr>
      </w:pPr>
      <w:r w:rsidRPr="00A44E2B">
        <w:rPr>
          <w:snapToGrid w:val="0"/>
        </w:rPr>
        <w:t xml:space="preserve">za objednatele: </w:t>
      </w:r>
      <w:r w:rsidR="00B9099D" w:rsidRPr="00A44E2B">
        <w:rPr>
          <w:snapToGrid w:val="0"/>
        </w:rPr>
        <w:t>Mgr</w:t>
      </w:r>
      <w:r w:rsidR="00776EE7" w:rsidRPr="00A44E2B">
        <w:rPr>
          <w:snapToGrid w:val="0"/>
        </w:rPr>
        <w:t>.</w:t>
      </w:r>
      <w:r w:rsidR="0000162D" w:rsidRPr="00A44E2B">
        <w:rPr>
          <w:snapToGrid w:val="0"/>
        </w:rPr>
        <w:t> </w:t>
      </w:r>
      <w:r w:rsidR="00B9099D" w:rsidRPr="00A44E2B">
        <w:rPr>
          <w:snapToGrid w:val="0"/>
        </w:rPr>
        <w:t>Ivan</w:t>
      </w:r>
      <w:r w:rsidR="0000162D" w:rsidRPr="00A44E2B">
        <w:rPr>
          <w:snapToGrid w:val="0"/>
        </w:rPr>
        <w:t> </w:t>
      </w:r>
      <w:r w:rsidR="00B9099D" w:rsidRPr="00A44E2B">
        <w:rPr>
          <w:snapToGrid w:val="0"/>
        </w:rPr>
        <w:t>Kořínek</w:t>
      </w:r>
      <w:r w:rsidR="005755EF" w:rsidRPr="00A44E2B">
        <w:rPr>
          <w:snapToGrid w:val="0"/>
        </w:rPr>
        <w:t>,</w:t>
      </w:r>
      <w:r w:rsidRPr="00A44E2B">
        <w:rPr>
          <w:snapToGrid w:val="0"/>
        </w:rPr>
        <w:t xml:space="preserve"> tel.</w:t>
      </w:r>
      <w:r w:rsidR="009326DC" w:rsidRPr="00A44E2B">
        <w:rPr>
          <w:snapToGrid w:val="0"/>
        </w:rPr>
        <w:t>:</w:t>
      </w:r>
      <w:r w:rsidR="00B9099D" w:rsidRPr="00A44E2B">
        <w:t xml:space="preserve"> +420</w:t>
      </w:r>
      <w:r w:rsidR="0000162D" w:rsidRPr="00A44E2B">
        <w:t> </w:t>
      </w:r>
      <w:r w:rsidR="00B9099D" w:rsidRPr="00A44E2B">
        <w:t>778</w:t>
      </w:r>
      <w:r w:rsidR="0000162D" w:rsidRPr="00A44E2B">
        <w:t> </w:t>
      </w:r>
      <w:r w:rsidR="00B9099D" w:rsidRPr="00A44E2B">
        <w:t>534</w:t>
      </w:r>
      <w:r w:rsidR="00D429D0" w:rsidRPr="00A44E2B">
        <w:t> </w:t>
      </w:r>
      <w:r w:rsidR="00B9099D" w:rsidRPr="00A44E2B">
        <w:t>317</w:t>
      </w:r>
      <w:r w:rsidR="00D429D0" w:rsidRPr="00A44E2B">
        <w:t xml:space="preserve"> (ústředna)</w:t>
      </w:r>
      <w:r w:rsidR="00B9099D" w:rsidRPr="00A44E2B">
        <w:t xml:space="preserve">, </w:t>
      </w:r>
      <w:r w:rsidRPr="00A44E2B">
        <w:rPr>
          <w:snapToGrid w:val="0"/>
        </w:rPr>
        <w:t>email</w:t>
      </w:r>
      <w:r w:rsidR="009326DC" w:rsidRPr="00A44E2B">
        <w:rPr>
          <w:snapToGrid w:val="0"/>
        </w:rPr>
        <w:t>:</w:t>
      </w:r>
      <w:r w:rsidR="005755EF" w:rsidRPr="00A44E2B">
        <w:rPr>
          <w:snapToGrid w:val="0"/>
        </w:rPr>
        <w:t xml:space="preserve"> </w:t>
      </w:r>
      <w:r w:rsidR="00B9099D" w:rsidRPr="00A44E2B">
        <w:rPr>
          <w:snapToGrid w:val="0"/>
        </w:rPr>
        <w:t>ivan.korinek@oavin.cz</w:t>
      </w:r>
    </w:p>
    <w:p w14:paraId="59A20325" w14:textId="7B53E05B" w:rsidR="00FD744D" w:rsidRPr="00A44E2B" w:rsidRDefault="00FD744D" w:rsidP="00FD744D">
      <w:pPr>
        <w:tabs>
          <w:tab w:val="left" w:pos="2835"/>
        </w:tabs>
        <w:spacing w:before="60" w:after="120"/>
        <w:rPr>
          <w:snapToGrid w:val="0"/>
        </w:rPr>
      </w:pPr>
      <w:r w:rsidRPr="00A44E2B">
        <w:rPr>
          <w:snapToGrid w:val="0"/>
        </w:rPr>
        <w:t>Každá ze smluvních stran je oprávněna změnit své kontaktní osoby písemným oznámením druhé smluvní straně. Předávané Důvěrné informace jsou chráněny podle této dohody, i když nejsou předávány kontaktními osobami nebo kontaktním osobám.</w:t>
      </w:r>
    </w:p>
    <w:p w14:paraId="5BD309DA" w14:textId="77777777" w:rsidR="00BE75C4" w:rsidRPr="00A44E2B" w:rsidRDefault="00BE75C4" w:rsidP="00FD744D">
      <w:pPr>
        <w:tabs>
          <w:tab w:val="left" w:pos="2835"/>
        </w:tabs>
        <w:spacing w:before="60" w:after="120"/>
        <w:rPr>
          <w:snapToGrid w:val="0"/>
        </w:rPr>
      </w:pPr>
    </w:p>
    <w:p w14:paraId="375F87BF" w14:textId="77777777" w:rsidR="00FD744D" w:rsidRPr="00A44E2B" w:rsidRDefault="00FD744D" w:rsidP="00FD744D">
      <w:pPr>
        <w:keepNext/>
        <w:jc w:val="center"/>
        <w:outlineLvl w:val="0"/>
        <w:rPr>
          <w:b/>
          <w:bCs/>
          <w:kern w:val="32"/>
        </w:rPr>
      </w:pPr>
      <w:r w:rsidRPr="00A44E2B">
        <w:rPr>
          <w:b/>
          <w:bCs/>
          <w:kern w:val="32"/>
        </w:rPr>
        <w:t>ČLÁNEK 5</w:t>
      </w:r>
    </w:p>
    <w:p w14:paraId="66E7740A" w14:textId="77777777" w:rsidR="00FD744D" w:rsidRPr="00A44E2B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A44E2B">
        <w:rPr>
          <w:b/>
          <w:bCs/>
          <w:kern w:val="32"/>
        </w:rPr>
        <w:t xml:space="preserve"> Smluvní pokuty</w:t>
      </w:r>
    </w:p>
    <w:p w14:paraId="585B92AD" w14:textId="40AB8BD0" w:rsidR="00FD744D" w:rsidRPr="00A44E2B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A44E2B">
        <w:rPr>
          <w:lang w:eastAsia="en-US"/>
        </w:rPr>
        <w:t xml:space="preserve">V případě prodlení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 xml:space="preserve">e s plněním v termínu dohodnutém ve smlouvě, bude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>i účtována smluvní pokuta ve výši 500 Kč za každý den prodlení.</w:t>
      </w:r>
    </w:p>
    <w:p w14:paraId="4C16D807" w14:textId="23697DA1" w:rsidR="00FD744D" w:rsidRPr="00A44E2B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A44E2B">
        <w:t xml:space="preserve">V případě prodlení objednatele se zaplacením ceny může </w:t>
      </w:r>
      <w:r w:rsidR="00D429D0" w:rsidRPr="00A44E2B">
        <w:t>dodavatel</w:t>
      </w:r>
      <w:r w:rsidRPr="00A44E2B">
        <w:t xml:space="preserve"> požadovat po objednateli úrok z prodlení ve výši 0,05 % z fakturované částky bez DPH za každý den prodlení.</w:t>
      </w:r>
    </w:p>
    <w:p w14:paraId="236A74F0" w14:textId="61739C3A" w:rsidR="00FD744D" w:rsidRPr="00A44E2B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A44E2B">
        <w:rPr>
          <w:snapToGrid w:val="0"/>
        </w:rPr>
        <w:t xml:space="preserve">Poruší-li </w:t>
      </w:r>
      <w:r w:rsidR="00D429D0" w:rsidRPr="00A44E2B">
        <w:rPr>
          <w:snapToGrid w:val="0"/>
        </w:rPr>
        <w:t>dodavatel</w:t>
      </w:r>
      <w:r w:rsidRPr="00A44E2B">
        <w:rPr>
          <w:snapToGrid w:val="0"/>
        </w:rPr>
        <w:t xml:space="preserve"> některou z povinností ujednanou v článku 4 této smlouvy, je povinen zaplatit objednateli smluvní pokutu ve výši 1 000 Kč za každý případ porušení takové smluvní povinnosti.</w:t>
      </w:r>
    </w:p>
    <w:p w14:paraId="4614E059" w14:textId="77777777" w:rsidR="00FD744D" w:rsidRPr="00A44E2B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A44E2B">
        <w:rPr>
          <w:snapToGrid w:val="0"/>
        </w:rPr>
        <w:t>Smluvní pokuty jsou splatné do třiceti (30) dnů ode dne doručení písemné výzvy k úhradě, pokud ve výzvě není uvedena lhůta delší, a to způsobem uvedeným ve výzvě.</w:t>
      </w:r>
    </w:p>
    <w:p w14:paraId="29EF82E9" w14:textId="77777777" w:rsidR="00FD744D" w:rsidRPr="00A44E2B" w:rsidRDefault="00FD744D" w:rsidP="00FD744D">
      <w:pPr>
        <w:numPr>
          <w:ilvl w:val="0"/>
          <w:numId w:val="27"/>
        </w:numPr>
        <w:spacing w:after="480"/>
        <w:ind w:left="283" w:hanging="425"/>
        <w:jc w:val="both"/>
        <w:rPr>
          <w:snapToGrid w:val="0"/>
        </w:rPr>
      </w:pPr>
      <w:r w:rsidRPr="00A44E2B">
        <w:rPr>
          <w:snapToGrid w:val="0"/>
        </w:rPr>
        <w:t>Ujednáním o smluvních pokutách není dotčeno právo poškozené smluvní strany na náhradu škody v plné výši, přičemž za škodu se považuje i ušlý zisk včetně přiměřeného zadostiučinění pro případ poškození dobrého jména.</w:t>
      </w:r>
    </w:p>
    <w:p w14:paraId="647DF08C" w14:textId="77777777" w:rsidR="00FD744D" w:rsidRPr="00A44E2B" w:rsidRDefault="00FD744D" w:rsidP="00FD744D">
      <w:pPr>
        <w:tabs>
          <w:tab w:val="left" w:pos="6317"/>
        </w:tabs>
        <w:jc w:val="center"/>
        <w:rPr>
          <w:b/>
          <w:lang w:eastAsia="en-US"/>
        </w:rPr>
      </w:pPr>
      <w:r w:rsidRPr="00A44E2B">
        <w:rPr>
          <w:b/>
          <w:lang w:eastAsia="en-US"/>
        </w:rPr>
        <w:t>ČLÁNEK 6</w:t>
      </w:r>
    </w:p>
    <w:p w14:paraId="4E8204C6" w14:textId="3E21B4D2" w:rsidR="00FD744D" w:rsidRPr="00A44E2B" w:rsidRDefault="00FD744D" w:rsidP="00FD744D">
      <w:pPr>
        <w:tabs>
          <w:tab w:val="left" w:pos="6317"/>
        </w:tabs>
        <w:spacing w:after="120"/>
        <w:jc w:val="center"/>
        <w:rPr>
          <w:b/>
          <w:lang w:eastAsia="en-US"/>
        </w:rPr>
      </w:pPr>
      <w:r w:rsidRPr="00A44E2B">
        <w:rPr>
          <w:b/>
        </w:rPr>
        <w:t>Ostatní ujednání</w:t>
      </w:r>
      <w:r w:rsidR="0000162D" w:rsidRPr="00A44E2B">
        <w:rPr>
          <w:b/>
        </w:rPr>
        <w:t xml:space="preserve"> </w:t>
      </w:r>
    </w:p>
    <w:p w14:paraId="6CFDF891" w14:textId="77777777" w:rsidR="00FD744D" w:rsidRPr="00A44E2B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A44E2B">
        <w:rPr>
          <w:lang w:eastAsia="zh-CN"/>
        </w:rPr>
        <w:t xml:space="preserve">Veškeré změny smlouvy jsou možné jen prostřednictvím písemných číslovaných dodatků podepsaných oběma smluvními stranami. </w:t>
      </w:r>
      <w:r w:rsidRPr="00A44E2B">
        <w:t>Postoupení smlouvy není přípustné.</w:t>
      </w:r>
    </w:p>
    <w:p w14:paraId="6635CE4E" w14:textId="77777777" w:rsidR="00FD744D" w:rsidRPr="00A44E2B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A44E2B">
        <w:rPr>
          <w:lang w:eastAsia="zh-CN"/>
        </w:rPr>
        <w:t>Tato smlouva je vyhotovena v elektronické podobě, přičemž obě smluvní strany obdrží její elektronický originál.</w:t>
      </w:r>
    </w:p>
    <w:p w14:paraId="39387B73" w14:textId="77777777" w:rsidR="00FD744D" w:rsidRPr="00A44E2B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A44E2B">
        <w:rPr>
          <w:lang w:eastAsia="zh-CN"/>
        </w:rPr>
        <w:lastRenderedPageBreak/>
        <w:t xml:space="preserve">Smluvní strany řeší spory ze smlouvy vyplývající především vzájemnou dohodou. Nedojde-li </w:t>
      </w:r>
      <w:r w:rsidRPr="00A44E2B">
        <w:rPr>
          <w:lang w:eastAsia="zh-CN"/>
        </w:rPr>
        <w:br/>
        <w:t>k dohodě, předají strany spor věcně příslušnému soudu.</w:t>
      </w:r>
    </w:p>
    <w:p w14:paraId="46E4C0F2" w14:textId="187BF4E8" w:rsidR="00FD744D" w:rsidRPr="00A44E2B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A44E2B">
        <w:rPr>
          <w:lang w:eastAsia="zh-CN"/>
        </w:rPr>
        <w:t xml:space="preserve">Dle uzavřené smlouvy je objednatel oprávněn započítat jakoukoli pohledávku vůči </w:t>
      </w:r>
      <w:r w:rsidR="00D429D0" w:rsidRPr="00A44E2B">
        <w:rPr>
          <w:lang w:eastAsia="zh-CN"/>
        </w:rPr>
        <w:t>dodavatel</w:t>
      </w:r>
      <w:r w:rsidRPr="00A44E2B">
        <w:rPr>
          <w:lang w:eastAsia="zh-CN"/>
        </w:rPr>
        <w:t xml:space="preserve">i oproti vystavenému platebnímu dokladu (faktuře) </w:t>
      </w:r>
      <w:r w:rsidR="00D429D0" w:rsidRPr="00A44E2B">
        <w:rPr>
          <w:lang w:eastAsia="zh-CN"/>
        </w:rPr>
        <w:t>dodavatel</w:t>
      </w:r>
      <w:r w:rsidRPr="00A44E2B">
        <w:rPr>
          <w:lang w:eastAsia="zh-CN"/>
        </w:rPr>
        <w:t>e</w:t>
      </w:r>
      <w:r w:rsidR="007F32E6">
        <w:rPr>
          <w:lang w:eastAsia="zh-CN"/>
        </w:rPr>
        <w:t>.</w:t>
      </w:r>
    </w:p>
    <w:p w14:paraId="50CAD968" w14:textId="77777777" w:rsidR="00FD744D" w:rsidRPr="00A44E2B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val="x-none"/>
        </w:rPr>
      </w:pPr>
      <w:r w:rsidRPr="00A44E2B">
        <w:rPr>
          <w:lang w:eastAsia="en-US"/>
        </w:rPr>
        <w:t>Objednatel</w:t>
      </w:r>
      <w:r w:rsidRPr="00A44E2B">
        <w:t xml:space="preserve"> jako osoba uvedená v ustanovení § 2 odst. 1 zákona č. 340/2015 Sb., o zvláštních podmínkách účinnosti některých smluv, uveřejňování těchto smluv a o registru smluv (zákon o registru smluv), ve znění pozdějších předpisů uveřejní tuto smlouvu způsobem dle tohoto zákona, ve lhůtě 30 dnů od okamžiku uzavření. Smlouva nabývá účinnosti okamžikem uveřejnění dle tohoto ujednání v registru smluv.</w:t>
      </w:r>
    </w:p>
    <w:p w14:paraId="11034E4A" w14:textId="72272B55" w:rsidR="00FD744D" w:rsidRPr="00A44E2B" w:rsidRDefault="00D429D0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</w:pPr>
      <w:r w:rsidRPr="00A44E2B">
        <w:t>Dodavatel</w:t>
      </w:r>
      <w:r w:rsidR="00FD744D" w:rsidRPr="00A44E2B">
        <w:t xml:space="preserve"> bere na vědomí a výslovně souhlasí s tím, že smlouva včetně příloh a případných dodatků bude </w:t>
      </w:r>
      <w:r w:rsidR="00FD744D" w:rsidRPr="00A44E2B">
        <w:rPr>
          <w:lang w:eastAsia="en-US"/>
        </w:rPr>
        <w:t>zveřejněna</w:t>
      </w:r>
      <w:r w:rsidR="00FD744D" w:rsidRPr="00A44E2B">
        <w:t xml:space="preserve"> na profilu zadavatele. </w:t>
      </w:r>
    </w:p>
    <w:p w14:paraId="7A2B2C9B" w14:textId="77777777" w:rsidR="00FD744D" w:rsidRPr="00A44E2B" w:rsidRDefault="00FD744D" w:rsidP="00FD744D">
      <w:pPr>
        <w:keepNext/>
        <w:snapToGrid w:val="0"/>
        <w:spacing w:before="120" w:after="120" w:line="276" w:lineRule="auto"/>
        <w:jc w:val="both"/>
        <w:outlineLvl w:val="1"/>
        <w:rPr>
          <w:lang w:eastAsia="en-US"/>
        </w:rPr>
      </w:pPr>
    </w:p>
    <w:p w14:paraId="655B34DC" w14:textId="61AD54C7" w:rsidR="00FD744D" w:rsidRPr="00A44E2B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A44E2B">
        <w:rPr>
          <w:lang w:eastAsia="en-US"/>
        </w:rPr>
        <w:t>Za objednatele:</w:t>
      </w:r>
      <w:r w:rsidRPr="00A44E2B">
        <w:rPr>
          <w:lang w:eastAsia="en-US"/>
        </w:rPr>
        <w:tab/>
      </w:r>
      <w:r w:rsidRPr="00A44E2B">
        <w:rPr>
          <w:lang w:eastAsia="en-US"/>
        </w:rPr>
        <w:tab/>
        <w:t xml:space="preserve">Za </w:t>
      </w:r>
      <w:r w:rsidR="00D429D0" w:rsidRPr="00A44E2B">
        <w:rPr>
          <w:lang w:eastAsia="en-US"/>
        </w:rPr>
        <w:t>dodavatel</w:t>
      </w:r>
      <w:r w:rsidRPr="00A44E2B">
        <w:rPr>
          <w:lang w:eastAsia="en-US"/>
        </w:rPr>
        <w:t>e:</w:t>
      </w:r>
    </w:p>
    <w:p w14:paraId="7707D42E" w14:textId="77777777" w:rsidR="00FD744D" w:rsidRPr="00A44E2B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0263D702" w14:textId="77777777" w:rsidR="00FD744D" w:rsidRPr="00A44E2B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4B3C2997" w14:textId="77777777" w:rsidR="00FD744D" w:rsidRPr="00A44E2B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5E1452BC" w14:textId="77777777" w:rsidR="00FD744D" w:rsidRPr="00A44E2B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A44E2B">
        <w:rPr>
          <w:lang w:eastAsia="en-US"/>
        </w:rPr>
        <w:t>_____________________________</w:t>
      </w:r>
      <w:r w:rsidRPr="00A44E2B">
        <w:rPr>
          <w:lang w:eastAsia="en-US"/>
        </w:rPr>
        <w:tab/>
      </w:r>
      <w:r w:rsidRPr="00A44E2B">
        <w:rPr>
          <w:lang w:eastAsia="en-US"/>
        </w:rPr>
        <w:tab/>
        <w:t xml:space="preserve"> ____________________________</w:t>
      </w:r>
    </w:p>
    <w:p w14:paraId="3EA51D65" w14:textId="16936E1B" w:rsidR="005048B8" w:rsidRPr="00A44E2B" w:rsidRDefault="00FD744D" w:rsidP="00FD744D">
      <w:pPr>
        <w:keepNext/>
        <w:tabs>
          <w:tab w:val="center" w:pos="4500"/>
        </w:tabs>
        <w:snapToGrid w:val="0"/>
        <w:spacing w:before="120"/>
        <w:ind w:left="2124" w:hanging="2124"/>
        <w:outlineLvl w:val="1"/>
      </w:pPr>
      <w:r w:rsidRPr="00A44E2B">
        <w:rPr>
          <w:lang w:eastAsia="en-US"/>
        </w:rPr>
        <w:t>RNDr. Milan Macek, CSc., ředitel</w:t>
      </w:r>
      <w:r w:rsidRPr="00A44E2B">
        <w:rPr>
          <w:lang w:eastAsia="en-US"/>
        </w:rPr>
        <w:tab/>
      </w:r>
      <w:r w:rsidR="0000162D" w:rsidRPr="00A44E2B">
        <w:rPr>
          <w:lang w:eastAsia="en-US"/>
        </w:rPr>
        <w:t xml:space="preserve"> </w:t>
      </w:r>
      <w:r w:rsidRPr="00A44E2B">
        <w:rPr>
          <w:lang w:eastAsia="en-US"/>
        </w:rPr>
        <w:tab/>
      </w:r>
      <w:r w:rsidRPr="00A44E2B">
        <w:rPr>
          <w:lang w:eastAsia="en-US"/>
        </w:rPr>
        <w:tab/>
        <w:t>jméno, příjmení, funkce</w:t>
      </w:r>
    </w:p>
    <w:p w14:paraId="027EAE5C" w14:textId="77777777" w:rsidR="00293F8E" w:rsidRPr="00A44E2B" w:rsidRDefault="00293F8E">
      <w:r w:rsidRPr="00A44E2B">
        <w:br w:type="page"/>
      </w:r>
    </w:p>
    <w:p w14:paraId="50B481FB" w14:textId="0F93443C" w:rsidR="00293F8E" w:rsidRPr="00A44E2B" w:rsidRDefault="00293F8E" w:rsidP="00293F8E">
      <w:pPr>
        <w:keepNext/>
        <w:tabs>
          <w:tab w:val="center" w:pos="4500"/>
        </w:tabs>
        <w:snapToGrid w:val="0"/>
        <w:spacing w:before="120"/>
        <w:outlineLvl w:val="1"/>
        <w:rPr>
          <w:b/>
          <w:bCs/>
        </w:rPr>
      </w:pPr>
      <w:r w:rsidRPr="00A44E2B">
        <w:rPr>
          <w:b/>
          <w:bCs/>
        </w:rPr>
        <w:lastRenderedPageBreak/>
        <w:t>Příloha č. 1 - Specifikace předmětu plnění</w:t>
      </w:r>
      <w:r w:rsidR="00DB5758">
        <w:rPr>
          <w:b/>
          <w:bCs/>
        </w:rPr>
        <w:t xml:space="preserve"> (konkrétní rozsah prací bude uveden při prohlídce prostor)</w:t>
      </w:r>
    </w:p>
    <w:p w14:paraId="37EB5991" w14:textId="77777777" w:rsidR="00293F8E" w:rsidRPr="00A44E2B" w:rsidRDefault="00293F8E" w:rsidP="00293F8E">
      <w:pPr>
        <w:keepNext/>
        <w:tabs>
          <w:tab w:val="center" w:pos="4500"/>
        </w:tabs>
        <w:snapToGrid w:val="0"/>
        <w:spacing w:before="120"/>
        <w:outlineLvl w:val="1"/>
      </w:pPr>
    </w:p>
    <w:p w14:paraId="293EC34F" w14:textId="4ED67B2B" w:rsidR="001B6AD6" w:rsidRPr="00A44E2B" w:rsidRDefault="001B6AD6" w:rsidP="001B6AD6">
      <w:pPr>
        <w:ind w:left="720"/>
      </w:pPr>
      <w:r w:rsidRPr="00A44E2B">
        <w:t>demontáž omítky a očištění zd</w:t>
      </w:r>
      <w:r w:rsidR="007F32E6">
        <w:t>í</w:t>
      </w:r>
    </w:p>
    <w:p w14:paraId="67D78031" w14:textId="77777777" w:rsidR="001B6AD6" w:rsidRPr="00A44E2B" w:rsidRDefault="001B6AD6" w:rsidP="001B6AD6">
      <w:pPr>
        <w:ind w:left="720"/>
      </w:pPr>
      <w:r w:rsidRPr="00A44E2B">
        <w:t>vyrovnání a omítnutí zdi sanační omítkou</w:t>
      </w:r>
    </w:p>
    <w:p w14:paraId="515DD77A" w14:textId="77777777" w:rsidR="001B6AD6" w:rsidRPr="00A44E2B" w:rsidRDefault="001B6AD6" w:rsidP="001B6AD6">
      <w:pPr>
        <w:ind w:left="720"/>
      </w:pPr>
      <w:r w:rsidRPr="00A44E2B">
        <w:t>vyštukování sanačním štukem</w:t>
      </w:r>
    </w:p>
    <w:p w14:paraId="182050F1" w14:textId="77777777" w:rsidR="001B6AD6" w:rsidRPr="00A44E2B" w:rsidRDefault="001B6AD6" w:rsidP="001B6AD6">
      <w:pPr>
        <w:ind w:left="720"/>
      </w:pPr>
      <w:r w:rsidRPr="00A44E2B">
        <w:t>opravy nesoudržného štuku a omítek ve zbytku místnosti</w:t>
      </w:r>
    </w:p>
    <w:p w14:paraId="355A6734" w14:textId="43695C3F" w:rsidR="001B6AD6" w:rsidRPr="00A44E2B" w:rsidRDefault="001B6AD6" w:rsidP="001B6AD6">
      <w:pPr>
        <w:ind w:left="720"/>
      </w:pPr>
      <w:r w:rsidRPr="00A44E2B">
        <w:t>vybourání ocel. zárubní a zazdění dveřního otvoru</w:t>
      </w:r>
    </w:p>
    <w:p w14:paraId="68361546" w14:textId="77777777" w:rsidR="001B6AD6" w:rsidRPr="00A44E2B" w:rsidRDefault="001B6AD6" w:rsidP="001B6AD6">
      <w:pPr>
        <w:ind w:left="720"/>
      </w:pPr>
      <w:r w:rsidRPr="00A44E2B">
        <w:t>omítka a štuk na zazděné dveře</w:t>
      </w:r>
    </w:p>
    <w:p w14:paraId="7DDB0108" w14:textId="6374F230" w:rsidR="001B6AD6" w:rsidRPr="00A44E2B" w:rsidRDefault="001B6AD6" w:rsidP="001B6AD6">
      <w:pPr>
        <w:ind w:left="720"/>
      </w:pPr>
      <w:r w:rsidRPr="00A44E2B">
        <w:t xml:space="preserve">SDK zakrytí beton. průvlaku </w:t>
      </w:r>
    </w:p>
    <w:p w14:paraId="55C3919B" w14:textId="77777777" w:rsidR="001B6AD6" w:rsidRPr="00A44E2B" w:rsidRDefault="001B6AD6" w:rsidP="001B6AD6">
      <w:pPr>
        <w:ind w:left="720"/>
      </w:pPr>
      <w:r w:rsidRPr="00A44E2B">
        <w:t>demontáž dlažby v pruhu kolem místnosti 0,6m</w:t>
      </w:r>
    </w:p>
    <w:p w14:paraId="4AB5D155" w14:textId="77777777" w:rsidR="001B6AD6" w:rsidRPr="00A44E2B" w:rsidRDefault="001B6AD6" w:rsidP="001B6AD6">
      <w:pPr>
        <w:ind w:left="720"/>
      </w:pPr>
      <w:r w:rsidRPr="00A44E2B">
        <w:t>odbroušení lepidla a začištění ke stávající dlažbě</w:t>
      </w:r>
    </w:p>
    <w:p w14:paraId="3C2C848B" w14:textId="77777777" w:rsidR="001B6AD6" w:rsidRPr="00A44E2B" w:rsidRDefault="001B6AD6" w:rsidP="001B6AD6">
      <w:pPr>
        <w:ind w:left="720"/>
      </w:pPr>
      <w:r w:rsidRPr="00A44E2B">
        <w:t>nová dlažba + zhotovení nového soklu</w:t>
      </w:r>
    </w:p>
    <w:p w14:paraId="0D555D25" w14:textId="77777777" w:rsidR="001B6AD6" w:rsidRPr="00A44E2B" w:rsidRDefault="001B6AD6" w:rsidP="001B6AD6">
      <w:pPr>
        <w:ind w:left="720"/>
      </w:pPr>
      <w:r w:rsidRPr="00A44E2B">
        <w:t>zaspárování a silikony</w:t>
      </w:r>
    </w:p>
    <w:p w14:paraId="1EE3006D" w14:textId="77777777" w:rsidR="001B6AD6" w:rsidRPr="00A44E2B" w:rsidRDefault="001B6AD6" w:rsidP="001B6AD6">
      <w:pPr>
        <w:ind w:left="720"/>
      </w:pPr>
      <w:r w:rsidRPr="00A44E2B">
        <w:t>demontáže stávající nevyhovující elektroinstalace</w:t>
      </w:r>
    </w:p>
    <w:p w14:paraId="059420FB" w14:textId="77777777" w:rsidR="001B6AD6" w:rsidRPr="00A44E2B" w:rsidRDefault="001B6AD6" w:rsidP="001B6AD6">
      <w:pPr>
        <w:ind w:left="720"/>
      </w:pPr>
      <w:r w:rsidRPr="00A44E2B">
        <w:t>zhotovení nové elektroinstalace dle požadavku</w:t>
      </w:r>
    </w:p>
    <w:p w14:paraId="1EC1E652" w14:textId="77777777" w:rsidR="001B6AD6" w:rsidRPr="00A44E2B" w:rsidRDefault="001B6AD6" w:rsidP="001B6AD6">
      <w:pPr>
        <w:ind w:left="720"/>
      </w:pPr>
      <w:r w:rsidRPr="00A44E2B">
        <w:t>demontáž zakrytí hlavního rozvodu SV pro objekt OA</w:t>
      </w:r>
    </w:p>
    <w:p w14:paraId="0FADA6EB" w14:textId="0BFC6FAD" w:rsidR="001B6AD6" w:rsidRPr="00A44E2B" w:rsidRDefault="001B6AD6" w:rsidP="001B6AD6">
      <w:pPr>
        <w:ind w:left="720"/>
      </w:pPr>
      <w:r w:rsidRPr="00A44E2B">
        <w:t xml:space="preserve">demontáž </w:t>
      </w:r>
      <w:proofErr w:type="spellStart"/>
      <w:r w:rsidRPr="00A44E2B">
        <w:t>po</w:t>
      </w:r>
      <w:r w:rsidR="00812788">
        <w:t>ž</w:t>
      </w:r>
      <w:proofErr w:type="spellEnd"/>
      <w:r w:rsidRPr="00A44E2B">
        <w:t>. rozvodu SV 3“ pro OA</w:t>
      </w:r>
    </w:p>
    <w:p w14:paraId="13E931A8" w14:textId="37C2B368" w:rsidR="001B6AD6" w:rsidRPr="00A44E2B" w:rsidRDefault="001B6AD6" w:rsidP="001B6AD6">
      <w:pPr>
        <w:ind w:left="720"/>
      </w:pPr>
      <w:r w:rsidRPr="00A44E2B">
        <w:t>D+M nového rozvodu v PPR90 + nové odbočky + nové</w:t>
      </w:r>
    </w:p>
    <w:p w14:paraId="7422BAEB" w14:textId="1B057934" w:rsidR="001B6AD6" w:rsidRPr="00A44E2B" w:rsidRDefault="001B6AD6" w:rsidP="001B6AD6">
      <w:pPr>
        <w:ind w:left="720"/>
      </w:pPr>
      <w:r w:rsidRPr="00A44E2B">
        <w:t>uzávěry KK3“+napojení na stávající 3“pozink. vedení</w:t>
      </w:r>
    </w:p>
    <w:p w14:paraId="7369AEBF" w14:textId="1446215A" w:rsidR="001B6AD6" w:rsidRPr="00A44E2B" w:rsidRDefault="001B6AD6" w:rsidP="001B6AD6">
      <w:pPr>
        <w:ind w:left="720"/>
      </w:pPr>
      <w:r w:rsidRPr="00A44E2B">
        <w:t xml:space="preserve">(práce je nutné konat </w:t>
      </w:r>
      <w:r w:rsidR="00A148CC">
        <w:t>po výuce</w:t>
      </w:r>
      <w:r w:rsidR="003C24BD">
        <w:t xml:space="preserve">, </w:t>
      </w:r>
      <w:r w:rsidRPr="00A44E2B">
        <w:t>v noci nebo o víkendu)</w:t>
      </w:r>
    </w:p>
    <w:p w14:paraId="3861CC73" w14:textId="5B2B96EC" w:rsidR="001B6AD6" w:rsidRPr="00A44E2B" w:rsidRDefault="001B6AD6" w:rsidP="001B6AD6">
      <w:pPr>
        <w:ind w:left="720"/>
      </w:pPr>
      <w:r w:rsidRPr="00A44E2B">
        <w:t xml:space="preserve">izolace nového potrubí </w:t>
      </w:r>
    </w:p>
    <w:p w14:paraId="128D9C80" w14:textId="77777777" w:rsidR="001B6AD6" w:rsidRPr="00A44E2B" w:rsidRDefault="001B6AD6" w:rsidP="001B6AD6">
      <w:pPr>
        <w:ind w:left="720"/>
      </w:pPr>
      <w:r w:rsidRPr="00A44E2B">
        <w:t>zapravení vybouraných otvorů a prostupů po ZTI</w:t>
      </w:r>
    </w:p>
    <w:p w14:paraId="5DB98F79" w14:textId="77777777" w:rsidR="001B6AD6" w:rsidRPr="00A44E2B" w:rsidRDefault="001B6AD6" w:rsidP="001B6AD6">
      <w:pPr>
        <w:ind w:left="720"/>
      </w:pPr>
      <w:r w:rsidRPr="00A44E2B">
        <w:t>zhotovení SDK šachty na nový rozvod ZTI</w:t>
      </w:r>
    </w:p>
    <w:p w14:paraId="575CDDFA" w14:textId="2B918B23" w:rsidR="001B6AD6" w:rsidRPr="00A44E2B" w:rsidRDefault="001B6AD6" w:rsidP="001B6AD6">
      <w:pPr>
        <w:ind w:left="720"/>
      </w:pPr>
      <w:r w:rsidRPr="00A44E2B">
        <w:t xml:space="preserve">opravy SDK podhledu v místnosti (po </w:t>
      </w:r>
      <w:proofErr w:type="gramStart"/>
      <w:r w:rsidRPr="00A44E2B">
        <w:t>světlech,…</w:t>
      </w:r>
      <w:proofErr w:type="gramEnd"/>
      <w:r w:rsidRPr="00A44E2B">
        <w:t>)</w:t>
      </w:r>
    </w:p>
    <w:p w14:paraId="5540C663" w14:textId="7E243483" w:rsidR="001B6AD6" w:rsidRPr="00A44E2B" w:rsidRDefault="001B6AD6" w:rsidP="001B6AD6">
      <w:pPr>
        <w:ind w:left="720"/>
      </w:pPr>
      <w:r w:rsidRPr="00A44E2B">
        <w:t>penetrace a výmalba místností</w:t>
      </w:r>
    </w:p>
    <w:p w14:paraId="3107B1A9" w14:textId="77777777" w:rsidR="001B6AD6" w:rsidRPr="00A44E2B" w:rsidRDefault="001B6AD6" w:rsidP="001B6AD6">
      <w:pPr>
        <w:ind w:left="720"/>
      </w:pPr>
      <w:r w:rsidRPr="00A44E2B">
        <w:t>demontáž lina</w:t>
      </w:r>
    </w:p>
    <w:p w14:paraId="0F37773D" w14:textId="77777777" w:rsidR="001B6AD6" w:rsidRPr="00A44E2B" w:rsidRDefault="001B6AD6" w:rsidP="001B6AD6">
      <w:pPr>
        <w:ind w:left="720"/>
      </w:pPr>
      <w:r w:rsidRPr="00A44E2B">
        <w:t>obroušení podkladu</w:t>
      </w:r>
    </w:p>
    <w:p w14:paraId="5DE626A4" w14:textId="77777777" w:rsidR="001B6AD6" w:rsidRPr="00A44E2B" w:rsidRDefault="001B6AD6" w:rsidP="001B6AD6">
      <w:pPr>
        <w:ind w:left="720"/>
      </w:pPr>
      <w:r w:rsidRPr="00A44E2B">
        <w:t>vylití podlahy nivelační stěrkou</w:t>
      </w:r>
    </w:p>
    <w:p w14:paraId="6165465B" w14:textId="22C38B5C" w:rsidR="001B6AD6" w:rsidRPr="00A44E2B" w:rsidRDefault="001B6AD6" w:rsidP="001B6AD6">
      <w:pPr>
        <w:ind w:left="720"/>
      </w:pPr>
      <w:r w:rsidRPr="00A44E2B">
        <w:t xml:space="preserve">oprava </w:t>
      </w:r>
      <w:r w:rsidR="00F03AD5">
        <w:t xml:space="preserve">poškozených </w:t>
      </w:r>
      <w:r w:rsidRPr="00A44E2B">
        <w:t>schod</w:t>
      </w:r>
      <w:r w:rsidR="00F03AD5">
        <w:t>ů</w:t>
      </w:r>
    </w:p>
    <w:p w14:paraId="5F6571F9" w14:textId="77777777" w:rsidR="005048B8" w:rsidRPr="00A44E2B" w:rsidRDefault="005048B8" w:rsidP="004470AD">
      <w:pPr>
        <w:jc w:val="both"/>
      </w:pPr>
    </w:p>
    <w:sectPr w:rsidR="005048B8" w:rsidRPr="00A44E2B" w:rsidSect="00757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FAB4" w14:textId="77777777" w:rsidR="00B130A3" w:rsidRDefault="00B130A3">
      <w:r>
        <w:separator/>
      </w:r>
    </w:p>
  </w:endnote>
  <w:endnote w:type="continuationSeparator" w:id="0">
    <w:p w14:paraId="3B40BC5C" w14:textId="77777777" w:rsidR="00B130A3" w:rsidRDefault="00B1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D26C" w14:textId="77777777" w:rsidR="002B32E5" w:rsidRDefault="002B3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96569"/>
      <w:docPartObj>
        <w:docPartGallery w:val="Page Numbers (Bottom of Page)"/>
        <w:docPartUnique/>
      </w:docPartObj>
    </w:sdtPr>
    <w:sdtEndPr/>
    <w:sdtContent>
      <w:p w14:paraId="53F13920" w14:textId="163E105F" w:rsidR="007574E8" w:rsidRDefault="00757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35B11" w14:textId="77777777" w:rsidR="007574E8" w:rsidRDefault="007574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AD4E" w14:textId="77777777" w:rsidR="002B32E5" w:rsidRDefault="002B3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E00B" w14:textId="77777777" w:rsidR="00B130A3" w:rsidRDefault="00B130A3">
      <w:r>
        <w:separator/>
      </w:r>
    </w:p>
  </w:footnote>
  <w:footnote w:type="continuationSeparator" w:id="0">
    <w:p w14:paraId="59151804" w14:textId="77777777" w:rsidR="00B130A3" w:rsidRDefault="00B1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D201" w14:textId="77777777" w:rsidR="002B32E5" w:rsidRDefault="002B3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6903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D4E2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bookmarkStart w:id="3" w:name="_Hlk221276596"/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1B1DF514" wp14:editId="421F8963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90549" cy="587425"/>
          <wp:effectExtent l="0" t="0" r="635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49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7B66C6E3" wp14:editId="30E8DCDD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E70D89" w:rsidRPr="00E70D89">
      <w:rPr>
        <w:rFonts w:ascii="Calibri" w:hAnsi="Calibri"/>
      </w:rPr>
      <w:t>778 534 316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3B"/>
    <w:multiLevelType w:val="hybridMultilevel"/>
    <w:tmpl w:val="521C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3062"/>
    <w:multiLevelType w:val="hybridMultilevel"/>
    <w:tmpl w:val="36549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04D"/>
    <w:multiLevelType w:val="hybridMultilevel"/>
    <w:tmpl w:val="2422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17B"/>
    <w:multiLevelType w:val="hybridMultilevel"/>
    <w:tmpl w:val="95B4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64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23FB0220"/>
    <w:multiLevelType w:val="hybridMultilevel"/>
    <w:tmpl w:val="9DE61222"/>
    <w:lvl w:ilvl="0" w:tplc="84A4EF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56F30"/>
    <w:multiLevelType w:val="hybridMultilevel"/>
    <w:tmpl w:val="B920A9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ED2"/>
    <w:multiLevelType w:val="hybridMultilevel"/>
    <w:tmpl w:val="5D7819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C63CF"/>
    <w:multiLevelType w:val="hybridMultilevel"/>
    <w:tmpl w:val="DB84F6EA"/>
    <w:lvl w:ilvl="0" w:tplc="2988B7C2">
      <w:start w:val="1"/>
      <w:numFmt w:val="bullet"/>
      <w:pStyle w:val="Textzadnsodrko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76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1D7A27"/>
    <w:multiLevelType w:val="hybridMultilevel"/>
    <w:tmpl w:val="C5B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74D1"/>
    <w:multiLevelType w:val="hybridMultilevel"/>
    <w:tmpl w:val="D6588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E69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49365A40"/>
    <w:multiLevelType w:val="hybridMultilevel"/>
    <w:tmpl w:val="FFFFFFFF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529F"/>
    <w:multiLevelType w:val="hybridMultilevel"/>
    <w:tmpl w:val="D7DC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51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4BAD01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6ABD35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4D8A"/>
    <w:multiLevelType w:val="hybridMultilevel"/>
    <w:tmpl w:val="B8867A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412FD5"/>
    <w:multiLevelType w:val="hybridMultilevel"/>
    <w:tmpl w:val="6A64D9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C0B793E"/>
    <w:multiLevelType w:val="hybridMultilevel"/>
    <w:tmpl w:val="44444A98"/>
    <w:lvl w:ilvl="0" w:tplc="C3122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5"/>
  </w:num>
  <w:num w:numId="5">
    <w:abstractNumId w:val="2"/>
  </w:num>
  <w:num w:numId="6">
    <w:abstractNumId w:val="8"/>
  </w:num>
  <w:num w:numId="7">
    <w:abstractNumId w:val="8"/>
  </w:num>
  <w:num w:numId="8">
    <w:abstractNumId w:val="22"/>
  </w:num>
  <w:num w:numId="9">
    <w:abstractNumId w:val="19"/>
  </w:num>
  <w:num w:numId="10">
    <w:abstractNumId w:val="0"/>
  </w:num>
  <w:num w:numId="11">
    <w:abstractNumId w:val="23"/>
  </w:num>
  <w:num w:numId="12">
    <w:abstractNumId w:val="8"/>
  </w:num>
  <w:num w:numId="13">
    <w:abstractNumId w:val="8"/>
  </w:num>
  <w:num w:numId="14">
    <w:abstractNumId w:val="15"/>
  </w:num>
  <w:num w:numId="15">
    <w:abstractNumId w:val="12"/>
  </w:num>
  <w:num w:numId="16">
    <w:abstractNumId w:val="19"/>
  </w:num>
  <w:num w:numId="17">
    <w:abstractNumId w:val="1"/>
  </w:num>
  <w:num w:numId="18">
    <w:abstractNumId w:val="3"/>
  </w:num>
  <w:num w:numId="19">
    <w:abstractNumId w:val="6"/>
  </w:num>
  <w:num w:numId="20">
    <w:abstractNumId w:val="7"/>
  </w:num>
  <w:num w:numId="21">
    <w:abstractNumId w:val="11"/>
  </w:num>
  <w:num w:numId="2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162D"/>
    <w:rsid w:val="000017DB"/>
    <w:rsid w:val="000025E4"/>
    <w:rsid w:val="0000294A"/>
    <w:rsid w:val="00006370"/>
    <w:rsid w:val="00011A97"/>
    <w:rsid w:val="000255CD"/>
    <w:rsid w:val="0002682D"/>
    <w:rsid w:val="00035CE2"/>
    <w:rsid w:val="00042E40"/>
    <w:rsid w:val="00043482"/>
    <w:rsid w:val="000511C0"/>
    <w:rsid w:val="00051795"/>
    <w:rsid w:val="000518DB"/>
    <w:rsid w:val="00065846"/>
    <w:rsid w:val="0007474C"/>
    <w:rsid w:val="000A145F"/>
    <w:rsid w:val="000B127F"/>
    <w:rsid w:val="000B5369"/>
    <w:rsid w:val="000C7006"/>
    <w:rsid w:val="000F2CA2"/>
    <w:rsid w:val="000F3CFA"/>
    <w:rsid w:val="000F45A9"/>
    <w:rsid w:val="000F6E05"/>
    <w:rsid w:val="00101CB6"/>
    <w:rsid w:val="00113C01"/>
    <w:rsid w:val="00124EFC"/>
    <w:rsid w:val="00127FBB"/>
    <w:rsid w:val="00132608"/>
    <w:rsid w:val="00136EAC"/>
    <w:rsid w:val="00141D67"/>
    <w:rsid w:val="0014441D"/>
    <w:rsid w:val="0015073C"/>
    <w:rsid w:val="00150C0B"/>
    <w:rsid w:val="00151B6C"/>
    <w:rsid w:val="00163639"/>
    <w:rsid w:val="00166AE7"/>
    <w:rsid w:val="00172339"/>
    <w:rsid w:val="0017752E"/>
    <w:rsid w:val="00196F08"/>
    <w:rsid w:val="001B11FF"/>
    <w:rsid w:val="001B4241"/>
    <w:rsid w:val="001B4DE7"/>
    <w:rsid w:val="001B6AD6"/>
    <w:rsid w:val="001C0252"/>
    <w:rsid w:val="001C1C8B"/>
    <w:rsid w:val="001D7725"/>
    <w:rsid w:val="001E0D9D"/>
    <w:rsid w:val="002058F7"/>
    <w:rsid w:val="0021218B"/>
    <w:rsid w:val="00222C37"/>
    <w:rsid w:val="00230D0A"/>
    <w:rsid w:val="002347F9"/>
    <w:rsid w:val="00237148"/>
    <w:rsid w:val="00241377"/>
    <w:rsid w:val="0024179C"/>
    <w:rsid w:val="00242B18"/>
    <w:rsid w:val="00244F09"/>
    <w:rsid w:val="00250AFC"/>
    <w:rsid w:val="00252E8E"/>
    <w:rsid w:val="00255B4A"/>
    <w:rsid w:val="00263CEA"/>
    <w:rsid w:val="0026504F"/>
    <w:rsid w:val="002664E4"/>
    <w:rsid w:val="00293D5E"/>
    <w:rsid w:val="00293F8E"/>
    <w:rsid w:val="00295753"/>
    <w:rsid w:val="002A63BA"/>
    <w:rsid w:val="002B32E5"/>
    <w:rsid w:val="002C5BE1"/>
    <w:rsid w:val="002D567F"/>
    <w:rsid w:val="002E19F5"/>
    <w:rsid w:val="002F3968"/>
    <w:rsid w:val="003156B3"/>
    <w:rsid w:val="00323D04"/>
    <w:rsid w:val="003349BA"/>
    <w:rsid w:val="00342951"/>
    <w:rsid w:val="00354673"/>
    <w:rsid w:val="00362941"/>
    <w:rsid w:val="003666B3"/>
    <w:rsid w:val="00372361"/>
    <w:rsid w:val="00373155"/>
    <w:rsid w:val="0037373A"/>
    <w:rsid w:val="00381B4B"/>
    <w:rsid w:val="003850D3"/>
    <w:rsid w:val="003922CF"/>
    <w:rsid w:val="003952AC"/>
    <w:rsid w:val="00397043"/>
    <w:rsid w:val="003A7ACD"/>
    <w:rsid w:val="003B25B7"/>
    <w:rsid w:val="003B382D"/>
    <w:rsid w:val="003B5FC7"/>
    <w:rsid w:val="003B6680"/>
    <w:rsid w:val="003C24BD"/>
    <w:rsid w:val="003C4029"/>
    <w:rsid w:val="003D6F3A"/>
    <w:rsid w:val="003E13FA"/>
    <w:rsid w:val="003E7F1C"/>
    <w:rsid w:val="0041155E"/>
    <w:rsid w:val="00420BA3"/>
    <w:rsid w:val="00426C30"/>
    <w:rsid w:val="0042738B"/>
    <w:rsid w:val="00443A64"/>
    <w:rsid w:val="004470AD"/>
    <w:rsid w:val="00455E2C"/>
    <w:rsid w:val="004573B4"/>
    <w:rsid w:val="00465E92"/>
    <w:rsid w:val="004669E7"/>
    <w:rsid w:val="00467BCE"/>
    <w:rsid w:val="00470303"/>
    <w:rsid w:val="00470C39"/>
    <w:rsid w:val="00476380"/>
    <w:rsid w:val="00482BF5"/>
    <w:rsid w:val="004830CF"/>
    <w:rsid w:val="00483CEB"/>
    <w:rsid w:val="004849EF"/>
    <w:rsid w:val="00492D54"/>
    <w:rsid w:val="004A1F98"/>
    <w:rsid w:val="004A452D"/>
    <w:rsid w:val="004A6C89"/>
    <w:rsid w:val="004B61D0"/>
    <w:rsid w:val="004C4C66"/>
    <w:rsid w:val="004E031E"/>
    <w:rsid w:val="004E7B51"/>
    <w:rsid w:val="004F0166"/>
    <w:rsid w:val="004F07D1"/>
    <w:rsid w:val="004F2547"/>
    <w:rsid w:val="005048B8"/>
    <w:rsid w:val="0051115E"/>
    <w:rsid w:val="005145FE"/>
    <w:rsid w:val="00521C5F"/>
    <w:rsid w:val="00534EB7"/>
    <w:rsid w:val="00555DEF"/>
    <w:rsid w:val="0056509E"/>
    <w:rsid w:val="005755EF"/>
    <w:rsid w:val="0057627C"/>
    <w:rsid w:val="005C1FB1"/>
    <w:rsid w:val="005C7712"/>
    <w:rsid w:val="005C7C1A"/>
    <w:rsid w:val="005D5042"/>
    <w:rsid w:val="005D7136"/>
    <w:rsid w:val="005D7F58"/>
    <w:rsid w:val="005E7B6C"/>
    <w:rsid w:val="006131FD"/>
    <w:rsid w:val="006142FF"/>
    <w:rsid w:val="006161C1"/>
    <w:rsid w:val="0061776A"/>
    <w:rsid w:val="00622A8E"/>
    <w:rsid w:val="0063268B"/>
    <w:rsid w:val="00642DE9"/>
    <w:rsid w:val="00657AC4"/>
    <w:rsid w:val="00661D95"/>
    <w:rsid w:val="00671C2D"/>
    <w:rsid w:val="0067223B"/>
    <w:rsid w:val="006724A9"/>
    <w:rsid w:val="00677779"/>
    <w:rsid w:val="00683D0C"/>
    <w:rsid w:val="00691067"/>
    <w:rsid w:val="006A1E10"/>
    <w:rsid w:val="006B688D"/>
    <w:rsid w:val="006C23F7"/>
    <w:rsid w:val="006C6A7B"/>
    <w:rsid w:val="006E41E4"/>
    <w:rsid w:val="006E7971"/>
    <w:rsid w:val="006F5C15"/>
    <w:rsid w:val="0070334E"/>
    <w:rsid w:val="007043A8"/>
    <w:rsid w:val="0070794E"/>
    <w:rsid w:val="007108E4"/>
    <w:rsid w:val="007115B9"/>
    <w:rsid w:val="007122CB"/>
    <w:rsid w:val="007127EE"/>
    <w:rsid w:val="00713030"/>
    <w:rsid w:val="00723784"/>
    <w:rsid w:val="007240A8"/>
    <w:rsid w:val="007442DA"/>
    <w:rsid w:val="00750425"/>
    <w:rsid w:val="00753E82"/>
    <w:rsid w:val="007574E8"/>
    <w:rsid w:val="0076046E"/>
    <w:rsid w:val="007666BE"/>
    <w:rsid w:val="0076710E"/>
    <w:rsid w:val="00770D57"/>
    <w:rsid w:val="00770F0D"/>
    <w:rsid w:val="00776EE7"/>
    <w:rsid w:val="00796A41"/>
    <w:rsid w:val="007A01CC"/>
    <w:rsid w:val="007B0263"/>
    <w:rsid w:val="007C2589"/>
    <w:rsid w:val="007C5213"/>
    <w:rsid w:val="007C78FB"/>
    <w:rsid w:val="007D4DEE"/>
    <w:rsid w:val="007D78F0"/>
    <w:rsid w:val="007E27B4"/>
    <w:rsid w:val="007F09B0"/>
    <w:rsid w:val="007F32E6"/>
    <w:rsid w:val="00812788"/>
    <w:rsid w:val="00813A0F"/>
    <w:rsid w:val="00815052"/>
    <w:rsid w:val="00840AC3"/>
    <w:rsid w:val="00862F86"/>
    <w:rsid w:val="008647A0"/>
    <w:rsid w:val="008826C2"/>
    <w:rsid w:val="008947C3"/>
    <w:rsid w:val="008A1FF9"/>
    <w:rsid w:val="008B3B90"/>
    <w:rsid w:val="008B5785"/>
    <w:rsid w:val="008D671C"/>
    <w:rsid w:val="008D754F"/>
    <w:rsid w:val="008E2235"/>
    <w:rsid w:val="008E765F"/>
    <w:rsid w:val="008F6B2B"/>
    <w:rsid w:val="00911CBC"/>
    <w:rsid w:val="009326DC"/>
    <w:rsid w:val="00935767"/>
    <w:rsid w:val="00945B3D"/>
    <w:rsid w:val="00950011"/>
    <w:rsid w:val="009535C0"/>
    <w:rsid w:val="00955533"/>
    <w:rsid w:val="0096116A"/>
    <w:rsid w:val="00965067"/>
    <w:rsid w:val="00967A15"/>
    <w:rsid w:val="00977CD4"/>
    <w:rsid w:val="00984A12"/>
    <w:rsid w:val="00984C7A"/>
    <w:rsid w:val="00995B46"/>
    <w:rsid w:val="00996283"/>
    <w:rsid w:val="009A2C79"/>
    <w:rsid w:val="009A3E02"/>
    <w:rsid w:val="009C22C8"/>
    <w:rsid w:val="009C472E"/>
    <w:rsid w:val="009C5B09"/>
    <w:rsid w:val="009D7614"/>
    <w:rsid w:val="009E4A60"/>
    <w:rsid w:val="009E5436"/>
    <w:rsid w:val="009F21A4"/>
    <w:rsid w:val="00A06B3A"/>
    <w:rsid w:val="00A148CC"/>
    <w:rsid w:val="00A405BA"/>
    <w:rsid w:val="00A444A1"/>
    <w:rsid w:val="00A44778"/>
    <w:rsid w:val="00A44E2B"/>
    <w:rsid w:val="00A45418"/>
    <w:rsid w:val="00A529F0"/>
    <w:rsid w:val="00A54279"/>
    <w:rsid w:val="00A55988"/>
    <w:rsid w:val="00A5776D"/>
    <w:rsid w:val="00A63987"/>
    <w:rsid w:val="00A6590C"/>
    <w:rsid w:val="00A66948"/>
    <w:rsid w:val="00A761FA"/>
    <w:rsid w:val="00A8715E"/>
    <w:rsid w:val="00A94C97"/>
    <w:rsid w:val="00A97EE2"/>
    <w:rsid w:val="00AA01B2"/>
    <w:rsid w:val="00AB14D1"/>
    <w:rsid w:val="00AC40E9"/>
    <w:rsid w:val="00AD2816"/>
    <w:rsid w:val="00AD4074"/>
    <w:rsid w:val="00AE3AE3"/>
    <w:rsid w:val="00AE52BE"/>
    <w:rsid w:val="00AE67E6"/>
    <w:rsid w:val="00AF1AEF"/>
    <w:rsid w:val="00B01E52"/>
    <w:rsid w:val="00B02271"/>
    <w:rsid w:val="00B130A3"/>
    <w:rsid w:val="00B17AC8"/>
    <w:rsid w:val="00B229A5"/>
    <w:rsid w:val="00B26CF6"/>
    <w:rsid w:val="00B3339A"/>
    <w:rsid w:val="00B36DDF"/>
    <w:rsid w:val="00B43B13"/>
    <w:rsid w:val="00B657AA"/>
    <w:rsid w:val="00B72265"/>
    <w:rsid w:val="00B76355"/>
    <w:rsid w:val="00B8177A"/>
    <w:rsid w:val="00B81D3D"/>
    <w:rsid w:val="00B83862"/>
    <w:rsid w:val="00B84586"/>
    <w:rsid w:val="00B9099D"/>
    <w:rsid w:val="00BA52EA"/>
    <w:rsid w:val="00BA557C"/>
    <w:rsid w:val="00BB0DFA"/>
    <w:rsid w:val="00BB20D1"/>
    <w:rsid w:val="00BB4047"/>
    <w:rsid w:val="00BB7E3A"/>
    <w:rsid w:val="00BC6D53"/>
    <w:rsid w:val="00BD1026"/>
    <w:rsid w:val="00BD2D69"/>
    <w:rsid w:val="00BE75C4"/>
    <w:rsid w:val="00BF3169"/>
    <w:rsid w:val="00C133E8"/>
    <w:rsid w:val="00C204F0"/>
    <w:rsid w:val="00C234CA"/>
    <w:rsid w:val="00C26EF6"/>
    <w:rsid w:val="00C2712D"/>
    <w:rsid w:val="00C47712"/>
    <w:rsid w:val="00C540CB"/>
    <w:rsid w:val="00C83CD6"/>
    <w:rsid w:val="00C8645E"/>
    <w:rsid w:val="00C91474"/>
    <w:rsid w:val="00C9338C"/>
    <w:rsid w:val="00C97C8A"/>
    <w:rsid w:val="00CA5231"/>
    <w:rsid w:val="00CB1CD7"/>
    <w:rsid w:val="00CB6862"/>
    <w:rsid w:val="00CB76D2"/>
    <w:rsid w:val="00CD55F6"/>
    <w:rsid w:val="00CE0444"/>
    <w:rsid w:val="00CF0B02"/>
    <w:rsid w:val="00CF579B"/>
    <w:rsid w:val="00D1708C"/>
    <w:rsid w:val="00D35FDA"/>
    <w:rsid w:val="00D429D0"/>
    <w:rsid w:val="00D52D24"/>
    <w:rsid w:val="00D57FC6"/>
    <w:rsid w:val="00D60BC3"/>
    <w:rsid w:val="00D836C7"/>
    <w:rsid w:val="00D87715"/>
    <w:rsid w:val="00D91361"/>
    <w:rsid w:val="00D94EB8"/>
    <w:rsid w:val="00D95B26"/>
    <w:rsid w:val="00D97654"/>
    <w:rsid w:val="00D97695"/>
    <w:rsid w:val="00DA0196"/>
    <w:rsid w:val="00DA0910"/>
    <w:rsid w:val="00DA6D7C"/>
    <w:rsid w:val="00DB1267"/>
    <w:rsid w:val="00DB1883"/>
    <w:rsid w:val="00DB5758"/>
    <w:rsid w:val="00DC1199"/>
    <w:rsid w:val="00DC1A82"/>
    <w:rsid w:val="00DC2242"/>
    <w:rsid w:val="00DD7864"/>
    <w:rsid w:val="00DE6933"/>
    <w:rsid w:val="00DF5F1C"/>
    <w:rsid w:val="00DF630E"/>
    <w:rsid w:val="00DF7E90"/>
    <w:rsid w:val="00E04D99"/>
    <w:rsid w:val="00E20E3B"/>
    <w:rsid w:val="00E2477A"/>
    <w:rsid w:val="00E25791"/>
    <w:rsid w:val="00E47457"/>
    <w:rsid w:val="00E50FDA"/>
    <w:rsid w:val="00E53307"/>
    <w:rsid w:val="00E700A7"/>
    <w:rsid w:val="00E70D89"/>
    <w:rsid w:val="00E76805"/>
    <w:rsid w:val="00E81EA5"/>
    <w:rsid w:val="00E82FE2"/>
    <w:rsid w:val="00E86BE1"/>
    <w:rsid w:val="00E96781"/>
    <w:rsid w:val="00EA079C"/>
    <w:rsid w:val="00EA5647"/>
    <w:rsid w:val="00EA57C3"/>
    <w:rsid w:val="00EB7271"/>
    <w:rsid w:val="00EC2462"/>
    <w:rsid w:val="00EC26E8"/>
    <w:rsid w:val="00EE0E86"/>
    <w:rsid w:val="00EF4AC3"/>
    <w:rsid w:val="00F03AD5"/>
    <w:rsid w:val="00F069FB"/>
    <w:rsid w:val="00F36A2C"/>
    <w:rsid w:val="00F37B97"/>
    <w:rsid w:val="00F4445D"/>
    <w:rsid w:val="00F44F09"/>
    <w:rsid w:val="00F4794C"/>
    <w:rsid w:val="00F57968"/>
    <w:rsid w:val="00F57B03"/>
    <w:rsid w:val="00F57DD1"/>
    <w:rsid w:val="00F84BD0"/>
    <w:rsid w:val="00F84EA0"/>
    <w:rsid w:val="00F92822"/>
    <w:rsid w:val="00F93696"/>
    <w:rsid w:val="00FD1089"/>
    <w:rsid w:val="00FD21FC"/>
    <w:rsid w:val="00FD744D"/>
    <w:rsid w:val="00FE5408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F5F4"/>
  <w15:docId w15:val="{D8C3D222-8729-4907-AECC-1C0326A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66AE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4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44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Standardnpsmoodstavce"/>
    <w:rsid w:val="00B17AC8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91474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C91474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9147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79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2D69"/>
    <w:rPr>
      <w:color w:val="0000FF" w:themeColor="hyperlink"/>
      <w:u w:val="single"/>
    </w:rPr>
  </w:style>
  <w:style w:type="paragraph" w:customStyle="1" w:styleId="INadpis">
    <w:name w:val="I. Nadpis"/>
    <w:basedOn w:val="Normln"/>
    <w:link w:val="INadpisChar"/>
    <w:qFormat/>
    <w:rsid w:val="00295753"/>
    <w:pPr>
      <w:keepNext/>
      <w:spacing w:before="240"/>
    </w:pPr>
    <w:rPr>
      <w:rFonts w:cstheme="minorHAnsi"/>
      <w:b/>
    </w:rPr>
  </w:style>
  <w:style w:type="paragraph" w:customStyle="1" w:styleId="Textzadn">
    <w:name w:val="Text zadání"/>
    <w:basedOn w:val="Normln"/>
    <w:link w:val="TextzadnChar"/>
    <w:qFormat/>
    <w:rsid w:val="00295753"/>
    <w:pPr>
      <w:jc w:val="both"/>
    </w:pPr>
    <w:rPr>
      <w:rFonts w:eastAsia="Calibri" w:cs="Calibri"/>
    </w:rPr>
  </w:style>
  <w:style w:type="character" w:customStyle="1" w:styleId="INadpisChar">
    <w:name w:val="I. Nadpis Char"/>
    <w:basedOn w:val="Standardnpsmoodstavce"/>
    <w:link w:val="INadpis"/>
    <w:rsid w:val="00295753"/>
    <w:rPr>
      <w:rFonts w:cstheme="minorHAnsi"/>
      <w:b/>
      <w:sz w:val="24"/>
      <w:szCs w:val="24"/>
    </w:rPr>
  </w:style>
  <w:style w:type="paragraph" w:customStyle="1" w:styleId="Textzadnsodrkou">
    <w:name w:val="Text zadání s odrážkou"/>
    <w:basedOn w:val="Normln"/>
    <w:link w:val="TextzadnsodrkouChar"/>
    <w:qFormat/>
    <w:rsid w:val="00470C39"/>
    <w:pPr>
      <w:numPr>
        <w:numId w:val="6"/>
      </w:numPr>
      <w:jc w:val="both"/>
    </w:pPr>
    <w:rPr>
      <w:rFonts w:ascii="Calibri" w:eastAsia="Calibri" w:hAnsi="Calibri" w:cs="Calibri"/>
    </w:rPr>
  </w:style>
  <w:style w:type="character" w:customStyle="1" w:styleId="TextzadnChar">
    <w:name w:val="Text zadání Char"/>
    <w:basedOn w:val="Standardnpsmoodstavce"/>
    <w:link w:val="Textzadn"/>
    <w:rsid w:val="00295753"/>
    <w:rPr>
      <w:rFonts w:eastAsia="Calibri" w:cs="Calibri"/>
      <w:sz w:val="24"/>
      <w:szCs w:val="24"/>
    </w:rPr>
  </w:style>
  <w:style w:type="paragraph" w:customStyle="1" w:styleId="Textzadnsslem">
    <w:name w:val="Text zadání s číslem"/>
    <w:basedOn w:val="Odstavecseseznamem"/>
    <w:link w:val="TextzadnsslemChar"/>
    <w:qFormat/>
    <w:rsid w:val="00470C39"/>
    <w:pPr>
      <w:numPr>
        <w:numId w:val="9"/>
      </w:numPr>
      <w:jc w:val="both"/>
    </w:pPr>
    <w:rPr>
      <w:rFonts w:asciiTheme="minorHAnsi" w:eastAsia="Calibri" w:hAnsiTheme="minorHAnsi" w:cstheme="minorHAnsi"/>
    </w:rPr>
  </w:style>
  <w:style w:type="character" w:customStyle="1" w:styleId="TextzadnsodrkouChar">
    <w:name w:val="Text zadání s odrážkou Char"/>
    <w:basedOn w:val="Standardnpsmoodstavce"/>
    <w:link w:val="Textzadnsodrkou"/>
    <w:rsid w:val="00470C39"/>
    <w:rPr>
      <w:rFonts w:ascii="Calibri" w:eastAsia="Calibri" w:hAnsi="Calibri" w:cs="Calibri"/>
      <w:sz w:val="24"/>
      <w:szCs w:val="24"/>
    </w:rPr>
  </w:style>
  <w:style w:type="character" w:customStyle="1" w:styleId="TextzadnsslemChar">
    <w:name w:val="Text zadání s číslem Char"/>
    <w:basedOn w:val="OdstavecseseznamemChar"/>
    <w:link w:val="Textzadnsslem"/>
    <w:rsid w:val="00470C39"/>
    <w:rPr>
      <w:rFonts w:asciiTheme="minorHAnsi" w:eastAsia="Calibri" w:hAnsiTheme="minorHAnsi" w:cs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4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44D"/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FD744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D744D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7574E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C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v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korinek@oavin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DB9F-F7F3-47DD-A7D3-BDA21042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39</TotalTime>
  <Pages>8</Pages>
  <Words>2130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19</cp:revision>
  <cp:lastPrinted>2013-05-02T14:24:00Z</cp:lastPrinted>
  <dcterms:created xsi:type="dcterms:W3CDTF">2026-03-23T10:28:00Z</dcterms:created>
  <dcterms:modified xsi:type="dcterms:W3CDTF">2026-03-23T11:58:00Z</dcterms:modified>
</cp:coreProperties>
</file>